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B" w:rsidRDefault="00E5672B">
      <w:pPr>
        <w:pStyle w:val="Nzev"/>
        <w:rPr>
          <w:sz w:val="36"/>
        </w:rPr>
      </w:pPr>
    </w:p>
    <w:p w:rsidR="00E5672B" w:rsidRDefault="00E5672B">
      <w:pPr>
        <w:pStyle w:val="Nzev"/>
        <w:jc w:val="left"/>
        <w:rPr>
          <w:sz w:val="36"/>
        </w:rPr>
      </w:pPr>
    </w:p>
    <w:p w:rsidR="00E5672B" w:rsidRDefault="00E5672B">
      <w:pPr>
        <w:pStyle w:val="Nzev"/>
        <w:rPr>
          <w:sz w:val="36"/>
        </w:rPr>
      </w:pPr>
      <w:r>
        <w:rPr>
          <w:sz w:val="36"/>
        </w:rPr>
        <w:t>UNIVERZITA  KARLOVA  V  PRAZE</w:t>
      </w:r>
    </w:p>
    <w:p w:rsidR="00E5672B" w:rsidRDefault="003A269A">
      <w:pPr>
        <w:pStyle w:val="Nzev"/>
        <w:tabs>
          <w:tab w:val="clear" w:pos="1134"/>
          <w:tab w:val="left" w:pos="2552"/>
        </w:tabs>
        <w:jc w:val="left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8.65pt;width:88.1pt;height:84.55pt;z-index:251658240;visibility:visible;mso-wrap-edited:f" o:allowincell="f">
            <v:imagedata r:id="rId8" o:title=""/>
          </v:shape>
          <o:OLEObject Type="Embed" ProgID="Word.Picture.8" ShapeID="_x0000_s1026" DrawAspect="Content" ObjectID="_1412147416" r:id="rId9"/>
        </w:pict>
      </w:r>
    </w:p>
    <w:p w:rsidR="00E5672B" w:rsidRDefault="00E5672B">
      <w:pPr>
        <w:pStyle w:val="Nzev"/>
        <w:tabs>
          <w:tab w:val="clear" w:pos="1134"/>
          <w:tab w:val="left" w:pos="2410"/>
        </w:tabs>
        <w:jc w:val="left"/>
        <w:rPr>
          <w:sz w:val="36"/>
        </w:rPr>
      </w:pPr>
      <w:r>
        <w:rPr>
          <w:rFonts w:ascii="CG Times CE CE" w:hAnsi="CG Times CE CE"/>
        </w:rPr>
        <w:tab/>
        <w:t>Přírodovědecká fakulta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b/>
          <w:sz w:val="22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A"/>
      </w:r>
      <w:r w:rsidRPr="00F41E99">
        <w:rPr>
          <w:rFonts w:ascii="CG Times" w:hAnsi="CG Times"/>
          <w:b/>
          <w:sz w:val="22"/>
        </w:rPr>
        <w:t>128 43  PRAHA 2  -  Albertov 6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8"/>
      </w:r>
      <w:r w:rsidRPr="00F41E99">
        <w:rPr>
          <w:rFonts w:ascii="CG Times" w:hAnsi="CG Times"/>
          <w:sz w:val="18"/>
        </w:rPr>
        <w:t>+42 2 2195 1111   fax: +42 2 21951127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sz w:val="18"/>
        </w:rPr>
        <w:tab/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</w:p>
    <w:p w:rsidR="00E5672B" w:rsidRPr="00F41E99" w:rsidRDefault="00E5672B">
      <w:pPr>
        <w:rPr>
          <w:color w:val="000000"/>
          <w:sz w:val="24"/>
        </w:rPr>
      </w:pPr>
    </w:p>
    <w:p w:rsidR="00E5672B" w:rsidRDefault="00E5672B">
      <w:pPr>
        <w:jc w:val="both"/>
        <w:rPr>
          <w:sz w:val="22"/>
        </w:rPr>
      </w:pPr>
    </w:p>
    <w:p w:rsidR="00E5672B" w:rsidRDefault="00E5672B">
      <w:pPr>
        <w:rPr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 Ě C: Výzva k podání nabídky a k prokázání kvalifikace pro veřejnou zakázku malého rozsahu dle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/>
            <w:b/>
            <w:sz w:val="24"/>
          </w:rPr>
          <w:t>6 a</w:t>
        </w:r>
      </w:smartTag>
      <w:r>
        <w:rPr>
          <w:rFonts w:ascii="Arial" w:hAnsi="Arial"/>
          <w:b/>
          <w:sz w:val="24"/>
        </w:rPr>
        <w:t xml:space="preserve"> § 18 odst. 5 zákona č. 137/2006 Sb.</w:t>
      </w:r>
    </w:p>
    <w:p w:rsidR="00E5672B" w:rsidRDefault="00E5672B">
      <w:pPr>
        <w:jc w:val="center"/>
        <w:rPr>
          <w:rFonts w:ascii="Arial" w:hAnsi="Arial"/>
          <w:sz w:val="24"/>
        </w:rPr>
      </w:pPr>
    </w:p>
    <w:p w:rsidR="00E5672B" w:rsidRDefault="00E5672B">
      <w:pPr>
        <w:jc w:val="center"/>
        <w:rPr>
          <w:sz w:val="22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 A D A V A T E L: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Univerzita Karlova v Praze se sídlem Praha 1, Ovocný trh 3-5, PSČ: 116 36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týká se součásti Přírodovědecká fakulta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Praha 2, Albertov 6, PSČ: 128 43</w:t>
      </w:r>
    </w:p>
    <w:p w:rsidR="00E5672B" w:rsidRDefault="00E5672B">
      <w:pPr>
        <w:jc w:val="center"/>
        <w:rPr>
          <w:b/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 Á S    V Y Z Ý V Á   K    P O D Á N Í   N A B Í D K Y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  K    P R O K Á Z Á N Í   K V A L I F I K A C E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4"/>
        </w:rPr>
      </w:pPr>
      <w:r>
        <w:rPr>
          <w:sz w:val="24"/>
        </w:rPr>
        <w:t xml:space="preserve">                Název veřejné zakázky malého rozsahu (dále jen veřejná zakázka): </w:t>
      </w:r>
    </w:p>
    <w:p w:rsidR="00E5672B" w:rsidRDefault="00E5672B">
      <w:pPr>
        <w:rPr>
          <w:rFonts w:ascii="Arial" w:hAnsi="Arial"/>
          <w:b/>
          <w:sz w:val="28"/>
        </w:rPr>
      </w:pPr>
    </w:p>
    <w:p w:rsidR="00E5672B" w:rsidRPr="004A3700" w:rsidRDefault="00E5672B">
      <w:pPr>
        <w:ind w:left="1416"/>
        <w:rPr>
          <w:rFonts w:ascii="Arial" w:hAnsi="Arial"/>
          <w:b/>
          <w:sz w:val="28"/>
        </w:rPr>
      </w:pPr>
      <w:r w:rsidRPr="00F41E99">
        <w:rPr>
          <w:rFonts w:ascii="Arial" w:hAnsi="Arial"/>
          <w:b/>
          <w:sz w:val="28"/>
        </w:rPr>
        <w:t xml:space="preserve"> DODÁVKA </w:t>
      </w:r>
      <w:r w:rsidR="004E4021">
        <w:rPr>
          <w:rFonts w:ascii="Arial" w:hAnsi="Arial"/>
          <w:b/>
          <w:sz w:val="28"/>
        </w:rPr>
        <w:t>Ergorespirometru (1 sestava)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0" w:name="_Toc137894660"/>
      <w:bookmarkStart w:id="1" w:name="_Toc8721838"/>
      <w:bookmarkStart w:id="2" w:name="_Toc94585149"/>
      <w:bookmarkStart w:id="3" w:name="_Toc138914966"/>
      <w:r>
        <w:rPr>
          <w:rFonts w:ascii="Arial" w:hAnsi="Arial"/>
          <w:b/>
          <w:sz w:val="24"/>
        </w:rPr>
        <w:t>Identifikační údaje veřejného zadavatele</w:t>
      </w:r>
    </w:p>
    <w:bookmarkEnd w:id="0"/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Univerzita Karlova v Praze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Ovocný trh 3-5, PSČ 116 36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 součásti:</w:t>
      </w:r>
      <w:r>
        <w:rPr>
          <w:rFonts w:ascii="Arial" w:hAnsi="Arial"/>
          <w:sz w:val="22"/>
        </w:rPr>
        <w:tab/>
        <w:t>Přírodovědecká fakulta</w:t>
      </w:r>
    </w:p>
    <w:p w:rsidR="00E5672B" w:rsidRDefault="00E5672B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Praha 2, Albertov 6, PSČ 128 43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00216208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CZ00216208</w:t>
      </w:r>
    </w:p>
    <w:p w:rsidR="00E5672B" w:rsidRDefault="00E5672B">
      <w:pPr>
        <w:pStyle w:val="Zkladntext"/>
        <w:spacing w:before="120"/>
        <w:rPr>
          <w:sz w:val="22"/>
        </w:rPr>
      </w:pPr>
      <w:r>
        <w:rPr>
          <w:sz w:val="22"/>
        </w:rPr>
        <w:t>Osobou oprávněnou jednat jménem zadavatele je Prof. RNDr. Bohuslav Gaš, CSc., děkan Přírodovědecké fakulty Univerzity Karlovy v Praze.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bookmarkStart w:id="4" w:name="_Toc8721846"/>
      <w:bookmarkStart w:id="5" w:name="_Toc138914973"/>
      <w:bookmarkEnd w:id="1"/>
      <w:bookmarkEnd w:id="2"/>
      <w:bookmarkEnd w:id="3"/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 xml:space="preserve">Kontaktní osobou zadavatele je: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 w:rsidRPr="0096323C">
        <w:rPr>
          <w:sz w:val="22"/>
        </w:rPr>
        <w:t xml:space="preserve">Doc. RNDr. Martin Kalous, CSc.,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>e-mail: mkalous@natur.cuni.cz, tel.: +420 2 21951776, fax: +420 2 21951758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Informace o předmětu veřejné zakázky malého rozsahu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Věcný rozsah</w:t>
      </w:r>
    </w:p>
    <w:p w:rsidR="00E5672B" w:rsidRDefault="00E5672B">
      <w:pPr>
        <w:pStyle w:val="Zkladntext2"/>
        <w:spacing w:after="120"/>
      </w:pPr>
      <w:r>
        <w:t xml:space="preserve">Předmětem plnění veřejné zakázky malého rozsahu (dále jen „veřejná zakázka“) </w:t>
      </w:r>
      <w:bookmarkEnd w:id="4"/>
      <w:bookmarkEnd w:id="5"/>
      <w:r>
        <w:t>je: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Dodávka vč. instalace a zaškolení obsluhy </w:t>
      </w:r>
      <w:r w:rsidR="004E4021">
        <w:rPr>
          <w:rFonts w:ascii="Arial" w:hAnsi="Arial"/>
          <w:b/>
          <w:sz w:val="22"/>
        </w:rPr>
        <w:t xml:space="preserve">Ergorespirometru </w:t>
      </w:r>
      <w:r w:rsidR="00D91036">
        <w:rPr>
          <w:rFonts w:ascii="Arial" w:hAnsi="Arial"/>
          <w:b/>
          <w:sz w:val="22"/>
        </w:rPr>
        <w:t xml:space="preserve"> (1 sestava) </w:t>
      </w:r>
      <w:r>
        <w:rPr>
          <w:rFonts w:ascii="Arial" w:hAnsi="Arial"/>
          <w:b/>
          <w:sz w:val="22"/>
        </w:rPr>
        <w:t>dle technické specifikace uvedené v zadávací dokumentaci.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Doba plnění veřejné zakázky</w:t>
      </w:r>
    </w:p>
    <w:p w:rsidR="00E5672B" w:rsidRDefault="00E5672B">
      <w:pPr>
        <w:pStyle w:val="Zkladntext3"/>
      </w:pPr>
      <w:r>
        <w:t xml:space="preserve">Zadavatel požaduje realizaci předmětu veřejné zakázky takto: Předpokládaná doba plnění je od </w:t>
      </w:r>
      <w:r w:rsidR="00D91036">
        <w:t>2</w:t>
      </w:r>
      <w:r>
        <w:t>. 11. 2012. Dodání do 10. 12. 2012. Zkrácení této lhůty může být součástí nabídky uchazeče.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Místo plnění veřejné zakázky</w:t>
      </w:r>
    </w:p>
    <w:p w:rsidR="00E5672B" w:rsidRDefault="00E5672B">
      <w:pPr>
        <w:pStyle w:val="Zkladntext"/>
        <w:rPr>
          <w:sz w:val="22"/>
        </w:rPr>
      </w:pPr>
      <w:bookmarkStart w:id="6" w:name="_Toc363974222"/>
      <w:bookmarkStart w:id="7" w:name="_Toc366583530"/>
      <w:r>
        <w:rPr>
          <w:sz w:val="22"/>
        </w:rPr>
        <w:t>Univerzita Karlova v Praze, Přírodovědecká fakulta, Viničná, č.p. 1594, č.or. 7,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Praha 2, 128 </w:t>
      </w:r>
      <w:smartTag w:uri="urn:schemas-microsoft-com:office:smarttags" w:element="metricconverter">
        <w:smartTagPr>
          <w:attr w:name="ProductID" w:val="43, m"/>
        </w:smartTagPr>
        <w:r>
          <w:rPr>
            <w:sz w:val="22"/>
          </w:rPr>
          <w:t>43, m</w:t>
        </w:r>
      </w:smartTag>
      <w:r>
        <w:rPr>
          <w:sz w:val="22"/>
        </w:rPr>
        <w:t xml:space="preserve">.č.  Nové Město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Zadávací dokumentace</w:t>
      </w:r>
    </w:p>
    <w:p w:rsidR="00E5672B" w:rsidRDefault="00E5672B">
      <w:pPr>
        <w:pStyle w:val="Zkladntext3"/>
      </w:pPr>
      <w:r>
        <w:t>Zadávací dokumentace sestává z podmínek této výzvy a její přílohy č. 1 – technické specifikace.</w:t>
      </w:r>
    </w:p>
    <w:p w:rsidR="00E5672B" w:rsidRDefault="00E5672B">
      <w:pPr>
        <w:jc w:val="both"/>
        <w:rPr>
          <w:rFonts w:ascii="Arial" w:hAnsi="Arial"/>
          <w:i/>
          <w:sz w:val="22"/>
        </w:rPr>
      </w:pPr>
      <w:r w:rsidRPr="006C1B19">
        <w:rPr>
          <w:rFonts w:ascii="Arial" w:hAnsi="Arial"/>
          <w:sz w:val="22"/>
        </w:rPr>
        <w:t xml:space="preserve">Zadávací dokumentace bude od počátku zadávací lhůty dne </w:t>
      </w:r>
      <w:r w:rsidR="00D91036" w:rsidRPr="000308E5">
        <w:rPr>
          <w:rFonts w:ascii="Arial" w:hAnsi="Arial"/>
          <w:b/>
          <w:sz w:val="22"/>
        </w:rPr>
        <w:t>19</w:t>
      </w:r>
      <w:r w:rsidRPr="000308E5">
        <w:rPr>
          <w:rFonts w:ascii="Arial" w:hAnsi="Arial"/>
          <w:b/>
          <w:sz w:val="22"/>
        </w:rPr>
        <w:t>. 10. 2012</w:t>
      </w:r>
      <w:r w:rsidRPr="006C1B19">
        <w:rPr>
          <w:rFonts w:ascii="Arial" w:hAnsi="Arial"/>
          <w:sz w:val="22"/>
        </w:rPr>
        <w:t>, do konce zadávací</w:t>
      </w:r>
      <w:r>
        <w:rPr>
          <w:rFonts w:ascii="Arial" w:hAnsi="Arial"/>
          <w:sz w:val="22"/>
        </w:rPr>
        <w:t xml:space="preserve"> lhůty dne </w:t>
      </w:r>
      <w:r w:rsidR="00D91036" w:rsidRPr="000308E5">
        <w:rPr>
          <w:rFonts w:ascii="Arial" w:hAnsi="Arial"/>
          <w:b/>
          <w:sz w:val="22"/>
        </w:rPr>
        <w:t>1</w:t>
      </w:r>
      <w:r w:rsidRPr="000308E5">
        <w:rPr>
          <w:rFonts w:ascii="Arial" w:hAnsi="Arial"/>
          <w:b/>
          <w:sz w:val="22"/>
        </w:rPr>
        <w:t>. 1</w:t>
      </w:r>
      <w:r w:rsidR="00D91036" w:rsidRPr="000308E5">
        <w:rPr>
          <w:rFonts w:ascii="Arial" w:hAnsi="Arial"/>
          <w:b/>
          <w:sz w:val="22"/>
        </w:rPr>
        <w:t>1</w:t>
      </w:r>
      <w:r w:rsidRPr="000308E5">
        <w:rPr>
          <w:rFonts w:ascii="Arial" w:hAnsi="Arial"/>
          <w:b/>
          <w:sz w:val="22"/>
        </w:rPr>
        <w:t>. 2012</w:t>
      </w:r>
      <w:r>
        <w:rPr>
          <w:rFonts w:ascii="Arial" w:hAnsi="Arial"/>
          <w:sz w:val="22"/>
        </w:rPr>
        <w:t xml:space="preserve">, přístupná na webové stránce PřF na adrese </w:t>
      </w:r>
      <w:hyperlink r:id="rId10" w:history="1">
        <w:r>
          <w:rPr>
            <w:rStyle w:val="Hypertextovodkaz"/>
            <w:rFonts w:ascii="Arial" w:hAnsi="Arial"/>
            <w:sz w:val="22"/>
          </w:rPr>
          <w:t>www.natur.cuni.cz</w:t>
        </w:r>
      </w:hyperlink>
      <w:r>
        <w:rPr>
          <w:rFonts w:ascii="Arial" w:hAnsi="Arial"/>
          <w:sz w:val="22"/>
        </w:rPr>
        <w:t xml:space="preserve">, oddíl Úřední deska, část Veřejné zakázky. </w:t>
      </w:r>
    </w:p>
    <w:p w:rsidR="00E5672B" w:rsidRDefault="00E5672B">
      <w:pPr>
        <w:pStyle w:val="Zkladntext3"/>
        <w:rPr>
          <w:i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Pokyny pro zpracování nabídky</w:t>
      </w:r>
    </w:p>
    <w:p w:rsidR="00E5672B" w:rsidRDefault="00E5672B">
      <w:pPr>
        <w:pStyle w:val="Zkladntext3"/>
        <w:spacing w:after="120"/>
      </w:pPr>
      <w:r>
        <w:t>Nabídka bude předložena v originále v písemné formě, v českém jazyce. Nabídka nebude obsahovat přepisy a opravy, které by mohly zadavatele uvést v omyl. Obsah nabídky bude v souladu s § 68 zákona.</w:t>
      </w:r>
    </w:p>
    <w:p w:rsidR="00E5672B" w:rsidRDefault="00E567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Všechny listy nabídky včetně příloh budou řádně očíslovány vzestupnou číselnou řadou a nabídka bude zajištěna proti neoprávněné manipulaci.</w:t>
      </w:r>
    </w:p>
    <w:p w:rsidR="00E5672B" w:rsidRDefault="00E5672B">
      <w:pPr>
        <w:jc w:val="both"/>
        <w:rPr>
          <w:rFonts w:ascii="Arial" w:hAnsi="Arial"/>
          <w:sz w:val="22"/>
        </w:rPr>
      </w:pPr>
    </w:p>
    <w:p w:rsidR="00E5672B" w:rsidRDefault="00E5672B">
      <w:pPr>
        <w:tabs>
          <w:tab w:val="left" w:pos="567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Nabídka bude dále obsahovat tyto dokumenty: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 xml:space="preserve">krycí list nabídky (bude obsahovat název veřejné zakázky, obchodní firmu či název a přesnou adresu uchazeče, jméno pověřeného zástupce (kontaktní osoby), telefon, fax, emailovou adresu, nabídkovou cenu), 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identifikační údaje o uchazeči,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prohlášení podepsané osobou oprávněnou jednat jménem či za uchazeče, z něhož vyplývá, že je uchazeč vázán celým obsahem nabídky po celou dobu běhu zadávací lhůty.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čestné prohlášení, jímž dodavatel prokáže splnění základních kvalifikačních předpokladů dle § 53 odst. 1 zákona.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návrh smlouvy podepsaný osobou oprávněnou za uchazeče jednat, který bude odpovídat zadávacím podmínkám a nabídce uchazeče. Bude obsahovat zejména tato ujednání:</w:t>
      </w:r>
    </w:p>
    <w:p w:rsidR="00E5672B" w:rsidRDefault="00E5672B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popis předmětu plnění</w:t>
      </w:r>
    </w:p>
    <w:p w:rsidR="00E5672B" w:rsidRPr="006C1B19" w:rsidRDefault="00E5672B" w:rsidP="006C1B19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 w:rsidRPr="006C1B19">
        <w:rPr>
          <w:rFonts w:ascii="Arial" w:hAnsi="Arial"/>
          <w:sz w:val="22"/>
        </w:rPr>
        <w:t>platební podmínky (lhůta splatnosti daňových dokladů činí 30dnů od data doručení daňového dokladu zadavateli),</w:t>
      </w:r>
    </w:p>
    <w:p w:rsidR="00E5672B" w:rsidRDefault="00E5672B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podmínky (záruční lhůta na předmět díla minimálně </w:t>
      </w:r>
      <w:r w:rsidR="00FE2535">
        <w:rPr>
          <w:rFonts w:ascii="Arial" w:hAnsi="Arial"/>
          <w:sz w:val="22"/>
        </w:rPr>
        <w:t>36</w:t>
      </w:r>
      <w:r>
        <w:rPr>
          <w:rFonts w:ascii="Arial" w:hAnsi="Arial"/>
          <w:sz w:val="22"/>
        </w:rPr>
        <w:t xml:space="preserve"> měsíců)</w:t>
      </w:r>
    </w:p>
    <w:p w:rsidR="00E5672B" w:rsidRDefault="00E5672B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smluvní </w:t>
      </w:r>
      <w:r w:rsidR="004A3700">
        <w:rPr>
          <w:rFonts w:ascii="Arial" w:hAnsi="Arial"/>
          <w:sz w:val="22"/>
        </w:rPr>
        <w:t>pokuty (sankce</w:t>
      </w:r>
      <w:r>
        <w:rPr>
          <w:rFonts w:ascii="Arial" w:hAnsi="Arial"/>
          <w:sz w:val="22"/>
        </w:rPr>
        <w:t xml:space="preserve"> za den prodlení v povinnostech objednatele </w:t>
      </w:r>
      <w:bookmarkStart w:id="8" w:name="_GoBack"/>
      <w:bookmarkEnd w:id="8"/>
    </w:p>
    <w:p w:rsidR="00E5672B" w:rsidRDefault="00E5672B">
      <w:pPr>
        <w:tabs>
          <w:tab w:val="left" w:pos="567"/>
          <w:tab w:val="num" w:pos="2456"/>
        </w:tabs>
        <w:ind w:left="567"/>
        <w:jc w:val="both"/>
        <w:rPr>
          <w:rFonts w:ascii="Arial" w:hAnsi="Arial"/>
          <w:sz w:val="22"/>
        </w:rPr>
      </w:pPr>
      <w:r w:rsidRPr="006C1B19">
        <w:rPr>
          <w:rFonts w:ascii="Arial" w:hAnsi="Arial"/>
          <w:sz w:val="22"/>
        </w:rPr>
        <w:t>0,1% z ceny díla,</w:t>
      </w:r>
    </w:p>
    <w:p w:rsidR="00E5672B" w:rsidRDefault="00E5672B">
      <w:pPr>
        <w:tabs>
          <w:tab w:val="left" w:pos="567"/>
          <w:tab w:val="num" w:pos="2456"/>
        </w:tabs>
        <w:ind w:left="567"/>
        <w:jc w:val="both"/>
        <w:rPr>
          <w:rFonts w:ascii="Arial" w:hAnsi="Arial"/>
          <w:sz w:val="22"/>
        </w:rPr>
      </w:pP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lastRenderedPageBreak/>
        <w:t>popisy a fotografie – prokázaní technických kvalifikačních předpokladů dle bodu 3. 3. této výzvy.</w:t>
      </w:r>
    </w:p>
    <w:p w:rsidR="00FE2535" w:rsidRDefault="00FE2535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Záruční doba 36 měsíců, pozáruční servis 7 let, dostupn</w:t>
      </w:r>
      <w:r w:rsidR="004A3700">
        <w:rPr>
          <w:sz w:val="22"/>
        </w:rPr>
        <w:t>ost n</w:t>
      </w:r>
      <w:r>
        <w:rPr>
          <w:sz w:val="22"/>
        </w:rPr>
        <w:t>áhradních dílů 10 let.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Požadavky na způsob zpracování nabídkové ceny</w:t>
      </w:r>
    </w:p>
    <w:p w:rsidR="00E5672B" w:rsidRDefault="00E5672B">
      <w:pPr>
        <w:pStyle w:val="Zkladntext3"/>
        <w:spacing w:after="120"/>
      </w:pPr>
      <w:r>
        <w:t>Nabídková cena bude stanovena jako cena nejvýše přípustná dle jednotlivých bodů z článku 2.1.  i celého předmětu veřejné zakázky, a to v členění: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bez 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včetně DPH.</w:t>
      </w:r>
    </w:p>
    <w:p w:rsidR="00E5672B" w:rsidRDefault="00E5672B">
      <w:pPr>
        <w:pStyle w:val="Zkladntext3"/>
        <w:spacing w:after="120"/>
      </w:pPr>
      <w:r>
        <w:t xml:space="preserve">Nabídková cena je cenou nejvýše přípustnou za jednotlivé body i veřejnou zakázku jako celek, za splnění veřejné zakázky. Při stanovení nabídkové ceny musí vzít uchazeč v úvahu veškeré náklady, jejichž vynaložení bude nezbytné ke splnění předmětu veřejné zakázky v jeho plném </w:t>
      </w:r>
      <w:r w:rsidR="004A3700">
        <w:t>rozsahu a zahrnout</w:t>
      </w:r>
      <w:r>
        <w:t xml:space="preserve"> je do nabídkové ceny. </w:t>
      </w:r>
    </w:p>
    <w:p w:rsidR="00E5672B" w:rsidRDefault="00E5672B">
      <w:pPr>
        <w:pStyle w:val="Zkladntext3"/>
        <w:spacing w:after="120"/>
      </w:pPr>
      <w:r>
        <w:t xml:space="preserve">Uchazeč stanoví celkovou nabídkovou cenu za kompletní splnění veřejné zakázky v souladu se zadávací dokumentací, a to absolutní částkou v českých korunách. Nabídková cena musí být vždy stanovena jako nejvýše přípustná.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Nabídková cena musí obsahovat ocenění všech položek nutných k řádnému splnění předmětu veřejné zakázky, tj. uchazeč ocení veškeré činnosti uvedené v předmětu plnění. </w:t>
      </w:r>
    </w:p>
    <w:p w:rsidR="00E5672B" w:rsidRDefault="00E5672B">
      <w:pPr>
        <w:pStyle w:val="Zkladntext3"/>
        <w:spacing w:after="120"/>
      </w:pPr>
      <w:r w:rsidRPr="006C1B19">
        <w:t>Zájemce je vázán svou nabídkou na dobu 3 měsíců od skončení lhůty pro podání nabídek.</w:t>
      </w:r>
    </w:p>
    <w:p w:rsidR="00E5672B" w:rsidRDefault="00E5672B">
      <w:pPr>
        <w:pStyle w:val="Zkladntext3"/>
        <w:spacing w:after="120"/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Návrh smlouvy</w:t>
      </w:r>
    </w:p>
    <w:p w:rsidR="00E5672B" w:rsidRDefault="00E5672B">
      <w:pPr>
        <w:pStyle w:val="Zkladntext3"/>
        <w:spacing w:after="120"/>
      </w:pPr>
      <w:r>
        <w:t>Uchazeč je povinen předložit v nabídce návrh smlouvy včetně všech případných příloh. Návrh smlouvy musí být ze strany uchazeče podepsán osobou oprávněnou jednat za uchazeče nebo osobou příslušně zmocněnou; originál nebo úředně ověřená kopie zmocnění musí být v takovém případě součástí nabídky uchazeče. Předložení nepodepsaného textu smlouvy není předložením návrhu této smlouvy. Nabídka uchazeče se tak stává neúplnou a zadavatel vyloučí takového uchazeče z další účasti na veřejné zakázce.</w:t>
      </w:r>
    </w:p>
    <w:p w:rsidR="00E5672B" w:rsidRDefault="00E5672B">
      <w:pPr>
        <w:pStyle w:val="Zkladntext3"/>
        <w:spacing w:after="120"/>
      </w:pPr>
      <w:r>
        <w:t xml:space="preserve">Uchazečem předložený návrh smlouvy musí po obsahové i formální stránce bezvýhradně odpovídat veškerým požadavkům uvedeným v zadávacích podmínkách.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Návrh smlouvy rovněž musí akceptovat ustanovení obecně závazných právních předpisů, které se vztahují na provádění příslušné veřejné zakázky.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Lhůta pro podání nabídek včetně adresy, na kterou mají být poslány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Nabídky a doklady k prokázání splnění kvalifikace je možno podávat osobně do podatelny Univerzita Karlova v Praze, Přírodovědecká fakulta, Praha 2, Albertov </w:t>
      </w:r>
      <w:smartTag w:uri="urn:schemas-microsoft-com:office:smarttags" w:element="metricconverter">
        <w:smartTagPr>
          <w:attr w:name="ProductID" w:val="6, a"/>
        </w:smartTagPr>
        <w:r>
          <w:rPr>
            <w:rFonts w:ascii="Arial" w:hAnsi="Arial"/>
            <w:sz w:val="22"/>
          </w:rPr>
          <w:t>6, a</w:t>
        </w:r>
      </w:smartTag>
      <w:r>
        <w:rPr>
          <w:rFonts w:ascii="Arial" w:hAnsi="Arial"/>
          <w:sz w:val="22"/>
        </w:rPr>
        <w:t xml:space="preserve"> to v pracovních dnech v úředních hodinách Po-Pá od 8.00 hod. do 11.00 hod. a od 13.00 hod. do 15.00 hod.                  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Uchazeči mohou podat nabídku a doklady k prokázání splnění kvalifikace rovněž doporučeně poštou na adresu Univerzita Karlova v Praze, Přírodovědecká fakulta, Praha 2, Albertov 6, PSČ 128 </w:t>
      </w:r>
      <w:smartTag w:uri="urn:schemas-microsoft-com:office:smarttags" w:element="metricconverter">
        <w:smartTagPr>
          <w:attr w:name="ProductID" w:val="43, a"/>
        </w:smartTagPr>
        <w:r>
          <w:rPr>
            <w:rFonts w:ascii="Arial" w:hAnsi="Arial"/>
            <w:sz w:val="22"/>
          </w:rPr>
          <w:t>43, a</w:t>
        </w:r>
      </w:smartTag>
      <w:r>
        <w:rPr>
          <w:rFonts w:ascii="Arial" w:hAnsi="Arial"/>
          <w:sz w:val="22"/>
        </w:rPr>
        <w:t xml:space="preserve"> to nejpozději </w:t>
      </w:r>
      <w:r w:rsidRPr="006C1B19">
        <w:rPr>
          <w:rFonts w:ascii="Arial" w:hAnsi="Arial"/>
          <w:b/>
          <w:sz w:val="22"/>
        </w:rPr>
        <w:t xml:space="preserve">do </w:t>
      </w:r>
      <w:r w:rsidR="003169D6">
        <w:rPr>
          <w:rFonts w:ascii="Arial" w:hAnsi="Arial"/>
          <w:b/>
          <w:sz w:val="22"/>
        </w:rPr>
        <w:t>1</w:t>
      </w:r>
      <w:r w:rsidRPr="006C1B19">
        <w:rPr>
          <w:rFonts w:ascii="Arial" w:hAnsi="Arial"/>
          <w:b/>
          <w:sz w:val="22"/>
        </w:rPr>
        <w:t>. 1</w:t>
      </w:r>
      <w:r w:rsidR="003169D6">
        <w:rPr>
          <w:rFonts w:ascii="Arial" w:hAnsi="Arial"/>
          <w:b/>
          <w:sz w:val="22"/>
        </w:rPr>
        <w:t>1</w:t>
      </w:r>
      <w:r w:rsidRPr="006C1B19">
        <w:rPr>
          <w:rFonts w:ascii="Arial" w:hAnsi="Arial"/>
          <w:b/>
          <w:sz w:val="22"/>
        </w:rPr>
        <w:t>. 2012 do 1</w:t>
      </w:r>
      <w:r w:rsidR="003169D6">
        <w:rPr>
          <w:rFonts w:ascii="Arial" w:hAnsi="Arial"/>
          <w:b/>
          <w:sz w:val="22"/>
        </w:rPr>
        <w:t>4</w:t>
      </w:r>
      <w:r w:rsidRPr="006C1B19">
        <w:rPr>
          <w:rFonts w:ascii="Arial" w:hAnsi="Arial"/>
          <w:b/>
          <w:sz w:val="22"/>
        </w:rPr>
        <w:t>:00 hodin</w:t>
      </w:r>
      <w:r>
        <w:rPr>
          <w:rFonts w:ascii="Arial" w:hAnsi="Arial"/>
          <w:sz w:val="22"/>
        </w:rPr>
        <w:t xml:space="preserve"> na adresu zadavatele. Zadavatel doporučuje uchazečům preferovat osobní podání nabídky a dokladů k prokázání splnění kvalifikace. 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 jsou uchazeči povinni podat písemně, a to v řádné a uzavřené obálce, označené</w:t>
      </w:r>
    </w:p>
    <w:p w:rsidR="00E5672B" w:rsidRPr="00DC2B66" w:rsidRDefault="00E5672B">
      <w:pPr>
        <w:rPr>
          <w:rFonts w:ascii="Arial" w:hAnsi="Arial"/>
          <w:sz w:val="22"/>
        </w:rPr>
      </w:pPr>
      <w:r w:rsidRPr="00DC2B66">
        <w:rPr>
          <w:rFonts w:ascii="Arial" w:hAnsi="Arial" w:cs="Arial"/>
          <w:b/>
          <w:sz w:val="24"/>
          <w:szCs w:val="24"/>
        </w:rPr>
        <w:t xml:space="preserve">„ DODÁVKA </w:t>
      </w:r>
      <w:r w:rsidR="00D91036" w:rsidRPr="00D91036">
        <w:rPr>
          <w:rFonts w:ascii="Arial" w:hAnsi="Arial"/>
          <w:b/>
          <w:sz w:val="24"/>
          <w:szCs w:val="24"/>
        </w:rPr>
        <w:t>Ergorespirometru (1 sestava)</w:t>
      </w:r>
      <w:r w:rsidRPr="00DC2B66">
        <w:rPr>
          <w:rFonts w:ascii="Arial" w:hAnsi="Arial" w:cs="Arial"/>
          <w:b/>
          <w:sz w:val="24"/>
          <w:szCs w:val="24"/>
        </w:rPr>
        <w:t>- neotevírat"</w:t>
      </w:r>
      <w:r w:rsidRPr="00DC2B66">
        <w:rPr>
          <w:rFonts w:ascii="Arial" w:hAnsi="Arial"/>
          <w:b/>
          <w:sz w:val="22"/>
        </w:rPr>
        <w:t xml:space="preserve">. </w:t>
      </w:r>
      <w:r w:rsidRPr="00DC2B66">
        <w:rPr>
          <w:rFonts w:ascii="Arial" w:hAnsi="Arial"/>
          <w:sz w:val="22"/>
        </w:rPr>
        <w:t xml:space="preserve">Na obálkách musí být uvedena adresa, na niž je možné zaslat oznámení analogicky dle § 71odst. 6 zákona. </w:t>
      </w:r>
    </w:p>
    <w:p w:rsidR="00E5672B" w:rsidRDefault="00E5672B">
      <w:pPr>
        <w:rPr>
          <w:rFonts w:ascii="Arial" w:hAnsi="Arial"/>
          <w:sz w:val="22"/>
        </w:rPr>
      </w:pP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 poškození výše uvedených ochranných prvků.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Požadavky na prokázání kvalifikace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9" w:name="_Toc138914982"/>
      <w:bookmarkEnd w:id="6"/>
      <w:bookmarkEnd w:id="7"/>
      <w:r>
        <w:rPr>
          <w:i/>
          <w:sz w:val="26"/>
        </w:rPr>
        <w:t>Základní kvalifikační předpoklady</w:t>
      </w:r>
      <w:bookmarkEnd w:id="9"/>
    </w:p>
    <w:p w:rsidR="00E5672B" w:rsidRDefault="00E5672B">
      <w:pPr>
        <w:pStyle w:val="Zkladntext2"/>
        <w:spacing w:after="120"/>
      </w:pPr>
      <w:r>
        <w:t>Zadavatel požaduje splnění základních kvalifikačních kritérií dle § 53 zákona, a to čestným prohlášením.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10" w:name="_Toc138914983"/>
      <w:r>
        <w:rPr>
          <w:i/>
          <w:sz w:val="26"/>
        </w:rPr>
        <w:t>Profesní kvalifikační předpoklady</w:t>
      </w:r>
      <w:bookmarkEnd w:id="10"/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Zadavatel požaduje, aby splnění profesních kvalifikačních předpokladů prokázal dodavatel takto:</w:t>
      </w: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předložením kopie dokladu o oprávnění k podnikání podle zvláštních právních předpisů v rozsahu odpovídajícím předmětu veřejné zakázky, zejména doklad prokazující příslušné živnostenské oprávnění či licenci,</w:t>
      </w: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 kopie výpisu z obchodního rejstříku, pokud je v něm zapsán, či výpisu z jiné obdobné evidence, pokud je v ní zapsán,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jc w:val="left"/>
        <w:rPr>
          <w:i/>
          <w:sz w:val="26"/>
        </w:rPr>
      </w:pPr>
      <w:bookmarkStart w:id="11" w:name="_Toc138914986"/>
      <w:r>
        <w:rPr>
          <w:i/>
          <w:sz w:val="26"/>
        </w:rPr>
        <w:t>Technické kvalifikační předpoklady</w:t>
      </w:r>
      <w:bookmarkEnd w:id="11"/>
    </w:p>
    <w:p w:rsidR="00E5672B" w:rsidRDefault="00E5672B">
      <w:pPr>
        <w:pStyle w:val="Zkladntext3"/>
        <w:spacing w:after="120"/>
      </w:pPr>
      <w:r>
        <w:t>Zadavatel požaduje prokázání splnění technických kvalifikačních předpokladů dodavatele předložením popisu a fotografie nabízeného předmětu plnění.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12" w:name="_Toc80687301"/>
      <w:bookmarkStart w:id="13" w:name="_Toc81386299"/>
      <w:bookmarkStart w:id="14" w:name="_Toc81995443"/>
      <w:bookmarkStart w:id="15" w:name="_Toc85180938"/>
      <w:bookmarkStart w:id="16" w:name="_Toc138915013"/>
      <w:r>
        <w:rPr>
          <w:rFonts w:ascii="Arial" w:hAnsi="Arial"/>
          <w:b/>
          <w:sz w:val="24"/>
        </w:rPr>
        <w:t>Kritéria pro zadání veřejné zakázky</w:t>
      </w:r>
      <w:bookmarkEnd w:id="12"/>
      <w:bookmarkEnd w:id="13"/>
      <w:bookmarkEnd w:id="14"/>
      <w:bookmarkEnd w:id="15"/>
      <w:bookmarkEnd w:id="16"/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Kritériem pro hodnocení zadání veřejné zakázky je ekonomická výhodnost nabídky. 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>Dílčí kritéria jsou řazena podle významu, který jim zadavatel přisuzuje:</w:t>
      </w:r>
    </w:p>
    <w:p w:rsidR="00E5672B" w:rsidRDefault="00E5672B">
      <w:pPr>
        <w:pStyle w:val="Zkladntext"/>
        <w:rPr>
          <w:sz w:val="22"/>
        </w:rPr>
      </w:pP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jc w:val="left"/>
        <w:rPr>
          <w:sz w:val="22"/>
        </w:rPr>
      </w:pPr>
      <w:r w:rsidRPr="00DC2B66">
        <w:rPr>
          <w:sz w:val="22"/>
        </w:rPr>
        <w:t xml:space="preserve">výše nabídkové ceny bez DPH – váha </w:t>
      </w:r>
      <w:r w:rsidR="00D91036">
        <w:rPr>
          <w:sz w:val="22"/>
        </w:rPr>
        <w:t>4</w:t>
      </w:r>
      <w:r>
        <w:rPr>
          <w:sz w:val="22"/>
        </w:rPr>
        <w:t>0</w:t>
      </w:r>
      <w:r w:rsidRPr="00DC2B66">
        <w:rPr>
          <w:sz w:val="22"/>
        </w:rPr>
        <w:t>%</w:t>
      </w: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 xml:space="preserve">technické parametry – váha </w:t>
      </w:r>
      <w:r w:rsidR="00D91036">
        <w:rPr>
          <w:sz w:val="22"/>
        </w:rPr>
        <w:t>50</w:t>
      </w:r>
      <w:r w:rsidRPr="00DC2B66">
        <w:rPr>
          <w:sz w:val="22"/>
        </w:rPr>
        <w:t xml:space="preserve">% </w:t>
      </w:r>
    </w:p>
    <w:p w:rsidR="00E5672B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>délka záruční doby v měsících – váha</w:t>
      </w:r>
      <w:r>
        <w:rPr>
          <w:sz w:val="22"/>
        </w:rPr>
        <w:t xml:space="preserve"> </w:t>
      </w:r>
      <w:r w:rsidR="00D91036">
        <w:rPr>
          <w:sz w:val="22"/>
        </w:rPr>
        <w:t>10</w:t>
      </w:r>
      <w:r w:rsidRPr="00DC2B66">
        <w:rPr>
          <w:sz w:val="22"/>
        </w:rPr>
        <w:t>%</w:t>
      </w:r>
    </w:p>
    <w:p w:rsidR="00E5672B" w:rsidRPr="00DC2B66" w:rsidRDefault="00E5672B" w:rsidP="00DC2B66">
      <w:pPr>
        <w:pStyle w:val="Zkladntext"/>
        <w:tabs>
          <w:tab w:val="right" w:leader="dot" w:pos="8931"/>
        </w:tabs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 xml:space="preserve">Technické parametry dle bodu b) jsou </w:t>
      </w:r>
      <w:r w:rsidR="00D91036">
        <w:rPr>
          <w:sz w:val="22"/>
        </w:rPr>
        <w:t>uvedeny v samostatné příloze</w:t>
      </w:r>
    </w:p>
    <w:p w:rsidR="00D91036" w:rsidRDefault="00D91036">
      <w:pPr>
        <w:pStyle w:val="Zkladntext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Toto kritérium bude hodnoceno z hlediska míry překročení požadovaných minimálních parametrů stanovených technickou specifikací.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Další podmínky veřejné zakázky</w:t>
      </w: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si dále vyhrazuje níže uvedená práva a podmínky: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Zadavatel vylučuje možnost podání variantních nabídek,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Uchazeči sami ponesou veškeré své náklady spojené s účastí v zadávacím řízení.</w:t>
      </w:r>
    </w:p>
    <w:p w:rsidR="00E5672B" w:rsidRDefault="00E5672B" w:rsidP="00764EBD">
      <w:pPr>
        <w:pStyle w:val="Zkladntext"/>
        <w:spacing w:after="120"/>
        <w:jc w:val="left"/>
        <w:rPr>
          <w:sz w:val="22"/>
        </w:rPr>
      </w:pP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Jednotliví uchazeči jsou povinni zdržet se jakýchkoli jednání, která by mohla narušit transparentní a nediskriminační průběh zadávacího řízení.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Zadavatel si vyhrazuje právo výzvu k podání nabídky a následné zadávací řízení na tuto zakázku kdykoliv v jeho průběhu zrušit.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prohlašuje, že se výzva k předložení nabídky ani další postup zadavatele neřídí, s výjimkou ustanovení §6, zákonem č.137/2006 Sb., o veřejných zakázkách.</w:t>
      </w:r>
    </w:p>
    <w:p w:rsidR="00E5672B" w:rsidRDefault="00E5672B">
      <w:pPr>
        <w:pStyle w:val="Zkladntext"/>
        <w:spacing w:after="120"/>
        <w:rPr>
          <w:sz w:val="24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 xml:space="preserve">V Praze dne </w:t>
      </w:r>
      <w:r w:rsidR="00D91036">
        <w:rPr>
          <w:sz w:val="22"/>
        </w:rPr>
        <w:t>17</w:t>
      </w:r>
      <w:r>
        <w:rPr>
          <w:sz w:val="22"/>
        </w:rPr>
        <w:t>. 10. 2012</w:t>
      </w:r>
    </w:p>
    <w:p w:rsidR="00E5672B" w:rsidRDefault="00E5672B">
      <w:pPr>
        <w:pStyle w:val="Zkladntext"/>
        <w:spacing w:after="120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631DA7" w:rsidP="00DC2B66">
      <w:pPr>
        <w:pStyle w:val="Zkladntext"/>
        <w:jc w:val="center"/>
        <w:rPr>
          <w:rFonts w:ascii="Times New Roman" w:hAnsi="Times New Roman"/>
          <w:sz w:val="24"/>
        </w:rPr>
      </w:pPr>
      <w:r>
        <w:rPr>
          <w:sz w:val="22"/>
        </w:rPr>
        <w:t>Doc. RNDr. František Půta, CSc.</w:t>
      </w:r>
    </w:p>
    <w:p w:rsidR="00E5672B" w:rsidRDefault="00E5672B">
      <w:pPr>
        <w:pStyle w:val="Zkladntext"/>
        <w:rPr>
          <w:rFonts w:ascii="Times New Roman" w:hAnsi="Times New Roman"/>
          <w:b/>
          <w:sz w:val="24"/>
          <w:u w:val="single"/>
        </w:rPr>
      </w:pPr>
    </w:p>
    <w:sectPr w:rsidR="00E5672B" w:rsidSect="006966C1">
      <w:headerReference w:type="even" r:id="rId11"/>
      <w:headerReference w:type="default" r:id="rId12"/>
      <w:footerReference w:type="default" r:id="rId13"/>
      <w:pgSz w:w="11907" w:h="16840" w:code="9"/>
      <w:pgMar w:top="522" w:right="1134" w:bottom="567" w:left="1418" w:header="708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9A" w:rsidRDefault="003A269A">
      <w:r>
        <w:separator/>
      </w:r>
    </w:p>
  </w:endnote>
  <w:endnote w:type="continuationSeparator" w:id="0">
    <w:p w:rsidR="003A269A" w:rsidRDefault="003A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E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E5672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9A" w:rsidRDefault="003A269A">
      <w:r>
        <w:separator/>
      </w:r>
    </w:p>
  </w:footnote>
  <w:footnote w:type="continuationSeparator" w:id="0">
    <w:p w:rsidR="003A269A" w:rsidRDefault="003A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B124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B124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68FA">
      <w:rPr>
        <w:rStyle w:val="slostrnky"/>
        <w:noProof/>
      </w:rPr>
      <w:t>3</w: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73364D3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247AD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C9AEC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5E24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912F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202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C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C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8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394F"/>
    <w:multiLevelType w:val="hybridMultilevel"/>
    <w:tmpl w:val="5E487776"/>
    <w:lvl w:ilvl="0" w:tplc="6E66DCD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8D6A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C8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81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92F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DC1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0EF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464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E2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53704"/>
    <w:multiLevelType w:val="hybridMultilevel"/>
    <w:tmpl w:val="8B407D68"/>
    <w:lvl w:ilvl="0" w:tplc="5D9ED5D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12C0B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6C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A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0A8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3A9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6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2E1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08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B68FE"/>
    <w:multiLevelType w:val="hybridMultilevel"/>
    <w:tmpl w:val="2DF20EB4"/>
    <w:lvl w:ilvl="0" w:tplc="BAAE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0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90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6E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2A1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6E0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EC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BAE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E2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cs="Times New Roman" w:hint="default"/>
      </w:rPr>
    </w:lvl>
  </w:abstractNum>
  <w:abstractNum w:abstractNumId="6">
    <w:nsid w:val="1EDB7A51"/>
    <w:multiLevelType w:val="hybridMultilevel"/>
    <w:tmpl w:val="F4F2A458"/>
    <w:lvl w:ilvl="0" w:tplc="AA421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A109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A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AE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8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AE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83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F11FE"/>
    <w:multiLevelType w:val="hybridMultilevel"/>
    <w:tmpl w:val="CBF40388"/>
    <w:lvl w:ilvl="0" w:tplc="ECFE7F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445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AD20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81A20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8EE5A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CC93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52A6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9201C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AEEB7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993773"/>
    <w:multiLevelType w:val="multilevel"/>
    <w:tmpl w:val="B90EC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5146E0"/>
    <w:multiLevelType w:val="hybridMultilevel"/>
    <w:tmpl w:val="634828AE"/>
    <w:lvl w:ilvl="0" w:tplc="27681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3EA0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02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AC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964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E42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30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26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5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1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FB7D63"/>
    <w:multiLevelType w:val="hybridMultilevel"/>
    <w:tmpl w:val="40B0337A"/>
    <w:lvl w:ilvl="0" w:tplc="5CF48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4A7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68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8A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E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A6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03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B4D11"/>
    <w:multiLevelType w:val="hybridMultilevel"/>
    <w:tmpl w:val="A6662226"/>
    <w:lvl w:ilvl="0" w:tplc="AD9A5A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22B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A2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449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A2C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3A1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96A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4A8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84D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8C32BE"/>
    <w:multiLevelType w:val="hybridMultilevel"/>
    <w:tmpl w:val="3FF2AB4E"/>
    <w:lvl w:ilvl="0" w:tplc="8310A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927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50F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F4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E7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60C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18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A0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6B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F53C8C"/>
    <w:multiLevelType w:val="hybridMultilevel"/>
    <w:tmpl w:val="13F4F284"/>
    <w:lvl w:ilvl="0" w:tplc="6D141DBA">
      <w:start w:val="7"/>
      <w:numFmt w:val="bullet"/>
      <w:lvlText w:val="-"/>
      <w:lvlJc w:val="left"/>
      <w:pPr>
        <w:tabs>
          <w:tab w:val="num" w:pos="2456"/>
        </w:tabs>
        <w:ind w:left="2456" w:hanging="187"/>
      </w:pPr>
      <w:rPr>
        <w:rFonts w:ascii="Times New Roman" w:eastAsia="Times New Roman" w:hAnsi="Times New Roman" w:hint="default"/>
      </w:rPr>
    </w:lvl>
    <w:lvl w:ilvl="1" w:tplc="D846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C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2D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84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6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ED36BB0"/>
    <w:multiLevelType w:val="hybridMultilevel"/>
    <w:tmpl w:val="2C38EE9E"/>
    <w:lvl w:ilvl="0" w:tplc="35F69A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DD2F5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444B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0B6B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887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0E30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CB2E0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5A43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68EBE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0"/>
  </w:num>
  <w:num w:numId="20">
    <w:abstractNumId w:val="18"/>
  </w:num>
  <w:num w:numId="21">
    <w:abstractNumId w:val="13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4"/>
    <w:rsid w:val="000308E5"/>
    <w:rsid w:val="00061271"/>
    <w:rsid w:val="0013097D"/>
    <w:rsid w:val="00230BEA"/>
    <w:rsid w:val="002441EE"/>
    <w:rsid w:val="002B42CF"/>
    <w:rsid w:val="002D6BCC"/>
    <w:rsid w:val="003169D6"/>
    <w:rsid w:val="00346DA2"/>
    <w:rsid w:val="003700D8"/>
    <w:rsid w:val="003A269A"/>
    <w:rsid w:val="00451605"/>
    <w:rsid w:val="0047115A"/>
    <w:rsid w:val="004A3700"/>
    <w:rsid w:val="004E4021"/>
    <w:rsid w:val="00522515"/>
    <w:rsid w:val="00532DDC"/>
    <w:rsid w:val="00554D0C"/>
    <w:rsid w:val="005D7A2A"/>
    <w:rsid w:val="00631DA7"/>
    <w:rsid w:val="006966C1"/>
    <w:rsid w:val="006C1B19"/>
    <w:rsid w:val="006E2FA4"/>
    <w:rsid w:val="0070510A"/>
    <w:rsid w:val="0074124F"/>
    <w:rsid w:val="00764EBD"/>
    <w:rsid w:val="00824657"/>
    <w:rsid w:val="00860D4E"/>
    <w:rsid w:val="0096323C"/>
    <w:rsid w:val="00A968FA"/>
    <w:rsid w:val="00AA0A8F"/>
    <w:rsid w:val="00B12421"/>
    <w:rsid w:val="00B129E5"/>
    <w:rsid w:val="00C12641"/>
    <w:rsid w:val="00C15CB4"/>
    <w:rsid w:val="00C5281F"/>
    <w:rsid w:val="00CD42CE"/>
    <w:rsid w:val="00D91036"/>
    <w:rsid w:val="00DA5D34"/>
    <w:rsid w:val="00DC2B66"/>
    <w:rsid w:val="00DE1E89"/>
    <w:rsid w:val="00E54421"/>
    <w:rsid w:val="00E5672B"/>
    <w:rsid w:val="00E96302"/>
    <w:rsid w:val="00ED5D12"/>
    <w:rsid w:val="00F41E99"/>
    <w:rsid w:val="00F61A22"/>
    <w:rsid w:val="00FE2535"/>
    <w:rsid w:val="00FE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.cuni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5</Pages>
  <Words>1290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Věra Šimánová</dc:creator>
  <cp:lastModifiedBy>Jan Háněl</cp:lastModifiedBy>
  <cp:revision>2</cp:revision>
  <cp:lastPrinted>2008-08-15T12:21:00Z</cp:lastPrinted>
  <dcterms:created xsi:type="dcterms:W3CDTF">2012-10-19T08:24:00Z</dcterms:created>
  <dcterms:modified xsi:type="dcterms:W3CDTF">2012-10-19T08:24:00Z</dcterms:modified>
</cp:coreProperties>
</file>