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5F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700" w:firstLine="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 xml:space="preserve">Univerzita Karlova  </w:t>
      </w:r>
    </w:p>
    <w:p w:rsidR="00DA004C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700" w:firstLine="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 xml:space="preserve">Přírodovědecká fakulta </w:t>
      </w:r>
    </w:p>
    <w:p w:rsidR="009D595F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700" w:firstLine="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 xml:space="preserve">Albertov 6 </w:t>
      </w:r>
    </w:p>
    <w:p w:rsidR="00740610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700" w:firstLine="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>128 43 PRAHA 2</w:t>
      </w:r>
    </w:p>
    <w:p w:rsidR="009D595F" w:rsidRPr="00357226" w:rsidRDefault="009D595F" w:rsidP="009D595F">
      <w:pPr>
        <w:pStyle w:val="Zkladntext2"/>
        <w:shd w:val="clear" w:color="auto" w:fill="auto"/>
        <w:spacing w:after="0" w:line="240" w:lineRule="auto"/>
        <w:ind w:left="20" w:right="700" w:firstLine="0"/>
        <w:rPr>
          <w:sz w:val="21"/>
          <w:szCs w:val="21"/>
        </w:rPr>
      </w:pPr>
    </w:p>
    <w:p w:rsidR="009D595F" w:rsidRPr="00357226" w:rsidRDefault="009D595F" w:rsidP="009D595F">
      <w:pPr>
        <w:pStyle w:val="Zkladntext2"/>
        <w:shd w:val="clear" w:color="auto" w:fill="auto"/>
        <w:spacing w:after="0" w:line="240" w:lineRule="auto"/>
        <w:ind w:left="80" w:firstLine="0"/>
        <w:jc w:val="center"/>
        <w:rPr>
          <w:b/>
          <w:color w:val="000000"/>
          <w:sz w:val="21"/>
          <w:szCs w:val="21"/>
          <w:lang w:eastAsia="cs-CZ" w:bidi="cs-CZ"/>
        </w:rPr>
      </w:pPr>
      <w:r w:rsidRPr="00357226">
        <w:rPr>
          <w:b/>
          <w:color w:val="000000"/>
          <w:sz w:val="21"/>
          <w:szCs w:val="21"/>
          <w:lang w:eastAsia="cs-CZ" w:bidi="cs-CZ"/>
        </w:rPr>
        <w:t xml:space="preserve">OPATŘENÍ DĚKANA č. </w:t>
      </w:r>
      <w:r w:rsidR="00BC2F0A" w:rsidRPr="00357226">
        <w:rPr>
          <w:b/>
          <w:color w:val="000000"/>
          <w:sz w:val="21"/>
          <w:szCs w:val="21"/>
          <w:lang w:eastAsia="cs-CZ" w:bidi="cs-CZ"/>
        </w:rPr>
        <w:t>0</w:t>
      </w:r>
      <w:r w:rsidR="00DA004C" w:rsidRPr="00357226">
        <w:rPr>
          <w:b/>
          <w:color w:val="000000"/>
          <w:sz w:val="21"/>
          <w:szCs w:val="21"/>
          <w:lang w:eastAsia="cs-CZ" w:bidi="cs-CZ"/>
        </w:rPr>
        <w:t>4</w:t>
      </w:r>
      <w:r w:rsidRPr="00357226">
        <w:rPr>
          <w:b/>
          <w:color w:val="000000"/>
          <w:sz w:val="21"/>
          <w:szCs w:val="21"/>
          <w:lang w:eastAsia="cs-CZ" w:bidi="cs-CZ"/>
        </w:rPr>
        <w:t>/2018</w:t>
      </w:r>
    </w:p>
    <w:p w:rsidR="00740610" w:rsidRPr="00357226" w:rsidRDefault="00740610" w:rsidP="009D595F">
      <w:pPr>
        <w:pStyle w:val="Zkladntext2"/>
        <w:shd w:val="clear" w:color="auto" w:fill="auto"/>
        <w:spacing w:after="0" w:line="240" w:lineRule="auto"/>
        <w:ind w:left="80" w:firstLine="0"/>
        <w:jc w:val="center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>ke kalkulacím finančních nákladů projektů vědy a výzkumu</w:t>
      </w:r>
    </w:p>
    <w:p w:rsidR="009D595F" w:rsidRPr="00357226" w:rsidRDefault="009D595F" w:rsidP="009D595F">
      <w:pPr>
        <w:pStyle w:val="Zkladntext2"/>
        <w:shd w:val="clear" w:color="auto" w:fill="auto"/>
        <w:spacing w:after="0" w:line="240" w:lineRule="auto"/>
        <w:ind w:left="80" w:firstLine="0"/>
        <w:jc w:val="center"/>
        <w:rPr>
          <w:color w:val="000000"/>
          <w:sz w:val="21"/>
          <w:szCs w:val="21"/>
          <w:lang w:eastAsia="cs-CZ" w:bidi="cs-CZ"/>
        </w:rPr>
      </w:pPr>
    </w:p>
    <w:p w:rsidR="009D595F" w:rsidRPr="00357226" w:rsidRDefault="009D595F" w:rsidP="009D595F">
      <w:pPr>
        <w:pStyle w:val="Zkladntext2"/>
        <w:shd w:val="clear" w:color="auto" w:fill="auto"/>
        <w:spacing w:after="0" w:line="240" w:lineRule="auto"/>
        <w:ind w:left="80" w:firstLine="0"/>
        <w:jc w:val="center"/>
        <w:rPr>
          <w:sz w:val="21"/>
          <w:szCs w:val="21"/>
        </w:rPr>
      </w:pPr>
    </w:p>
    <w:p w:rsidR="00D50747" w:rsidRPr="00357226" w:rsidRDefault="00740610" w:rsidP="009D595F">
      <w:pPr>
        <w:pStyle w:val="Nadpis10"/>
        <w:shd w:val="clear" w:color="auto" w:fill="auto"/>
        <w:spacing w:before="0" w:after="0" w:line="240" w:lineRule="auto"/>
        <w:ind w:left="80"/>
        <w:rPr>
          <w:color w:val="000000"/>
          <w:sz w:val="21"/>
          <w:szCs w:val="21"/>
          <w:lang w:eastAsia="cs-CZ" w:bidi="cs-CZ"/>
        </w:rPr>
      </w:pPr>
      <w:bookmarkStart w:id="0" w:name="bookmark0"/>
      <w:r w:rsidRPr="00357226">
        <w:rPr>
          <w:color w:val="000000"/>
          <w:sz w:val="21"/>
          <w:szCs w:val="21"/>
          <w:lang w:eastAsia="cs-CZ" w:bidi="cs-CZ"/>
        </w:rPr>
        <w:t xml:space="preserve">Čl. 1 </w:t>
      </w:r>
    </w:p>
    <w:p w:rsidR="00D50747" w:rsidRPr="00357226" w:rsidRDefault="00D50747" w:rsidP="009D595F">
      <w:pPr>
        <w:pStyle w:val="Nadpis10"/>
        <w:shd w:val="clear" w:color="auto" w:fill="auto"/>
        <w:spacing w:before="0" w:after="0" w:line="240" w:lineRule="auto"/>
        <w:ind w:left="80"/>
        <w:rPr>
          <w:color w:val="000000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pStyle w:val="Nadpis10"/>
        <w:shd w:val="clear" w:color="auto" w:fill="auto"/>
        <w:spacing w:before="0" w:after="0" w:line="240" w:lineRule="auto"/>
        <w:ind w:left="8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>Předmět úpravy</w:t>
      </w:r>
      <w:bookmarkEnd w:id="0"/>
    </w:p>
    <w:p w:rsidR="00D50747" w:rsidRPr="00357226" w:rsidRDefault="00D50747" w:rsidP="009D595F">
      <w:pPr>
        <w:pStyle w:val="Nadpis10"/>
        <w:shd w:val="clear" w:color="auto" w:fill="auto"/>
        <w:spacing w:before="0" w:after="0" w:line="240" w:lineRule="auto"/>
        <w:ind w:left="80"/>
        <w:rPr>
          <w:sz w:val="21"/>
          <w:szCs w:val="21"/>
        </w:rPr>
      </w:pPr>
    </w:p>
    <w:p w:rsidR="00740610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420" w:firstLine="0"/>
        <w:rPr>
          <w:color w:val="000000"/>
          <w:sz w:val="21"/>
          <w:szCs w:val="21"/>
          <w:lang w:eastAsia="cs-CZ" w:bidi="cs-CZ"/>
        </w:rPr>
      </w:pPr>
      <w:r w:rsidRPr="00357226">
        <w:rPr>
          <w:color w:val="000000"/>
          <w:sz w:val="21"/>
          <w:szCs w:val="21"/>
          <w:lang w:eastAsia="cs-CZ" w:bidi="cs-CZ"/>
        </w:rPr>
        <w:t xml:space="preserve">Toto opatření se vydává ke stanovení postupu při kalkulaci nepřímých nákladů (režií) na projektech vědy a výzkumu (viz příloha 1) v podmínkách Přírodovědecké fakulty Univerzity Karlovy (dále v textu </w:t>
      </w:r>
      <w:proofErr w:type="spellStart"/>
      <w:r w:rsidRPr="00357226">
        <w:rPr>
          <w:color w:val="000000"/>
          <w:sz w:val="21"/>
          <w:szCs w:val="21"/>
          <w:lang w:eastAsia="cs-CZ" w:bidi="cs-CZ"/>
        </w:rPr>
        <w:t>PřF</w:t>
      </w:r>
      <w:proofErr w:type="spellEnd"/>
      <w:r w:rsidRPr="00357226">
        <w:rPr>
          <w:color w:val="000000"/>
          <w:sz w:val="21"/>
          <w:szCs w:val="21"/>
          <w:lang w:eastAsia="cs-CZ" w:bidi="cs-CZ"/>
        </w:rPr>
        <w:t xml:space="preserve"> UK).</w:t>
      </w:r>
    </w:p>
    <w:p w:rsidR="00740610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420" w:firstLine="0"/>
        <w:rPr>
          <w:color w:val="000000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pStyle w:val="Zkladntext2"/>
        <w:shd w:val="clear" w:color="auto" w:fill="auto"/>
        <w:spacing w:after="0" w:line="240" w:lineRule="auto"/>
        <w:ind w:left="20" w:right="420" w:firstLine="0"/>
        <w:rPr>
          <w:sz w:val="21"/>
          <w:szCs w:val="21"/>
        </w:rPr>
      </w:pPr>
    </w:p>
    <w:p w:rsidR="00740610" w:rsidRPr="00357226" w:rsidRDefault="00740610" w:rsidP="009D595F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  <w:t>Čl. 2</w:t>
      </w:r>
    </w:p>
    <w:p w:rsidR="00D50747" w:rsidRPr="00357226" w:rsidRDefault="00D50747" w:rsidP="009D595F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widowControl w:val="0"/>
        <w:spacing w:after="0" w:line="240" w:lineRule="auto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  <w:bookmarkStart w:id="1" w:name="bookmark1"/>
      <w:r w:rsidRPr="00357226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  <w:t>Stanovení pravidel a procentuálního podílu nepřímých nákladů</w:t>
      </w:r>
      <w:bookmarkEnd w:id="1"/>
    </w:p>
    <w:p w:rsidR="00D50747" w:rsidRPr="00357226" w:rsidRDefault="00D50747" w:rsidP="009D595F">
      <w:pPr>
        <w:widowControl w:val="0"/>
        <w:spacing w:after="0" w:line="240" w:lineRule="auto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</w:p>
    <w:p w:rsidR="00740610" w:rsidRPr="00357226" w:rsidRDefault="00740610" w:rsidP="00BC2F0A">
      <w:pPr>
        <w:widowControl w:val="0"/>
        <w:numPr>
          <w:ilvl w:val="0"/>
          <w:numId w:val="1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Kalkulace finančních nákladů projektů vědy a výzkumu musí vždy obsahovat vyčíslení podílu nepřímých nákladů (režie) projektu ve výši maxima stanoveného poskytovatelem. V případě, že poskytovatel maximální podíl nepřímých nákladů nestanovil, je podíl nepří</w:t>
      </w:r>
      <w:r w:rsidR="00DA004C"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mých nákladů stanoven ve výši 32</w:t>
      </w:r>
      <w:r w:rsidR="003B7AFA"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% z celkových přímých neinvestičních nákladů projektu na každý takový projekt.</w:t>
      </w:r>
    </w:p>
    <w:p w:rsidR="00740610" w:rsidRPr="00357226" w:rsidRDefault="00740610" w:rsidP="00BC2F0A">
      <w:pPr>
        <w:widowControl w:val="0"/>
        <w:numPr>
          <w:ilvl w:val="0"/>
          <w:numId w:val="1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Nepřímé náklady jsou ekonomickým oddělením po obdržení prostředků od poskytovatele převedeny do výnosů příslušných nákladových středisek následovně:</w:t>
      </w:r>
    </w:p>
    <w:p w:rsidR="00740610" w:rsidRPr="00357226" w:rsidRDefault="00740610" w:rsidP="008F60DD">
      <w:pPr>
        <w:widowControl w:val="0"/>
        <w:spacing w:after="0" w:line="240" w:lineRule="auto"/>
        <w:ind w:left="440" w:right="2835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výzkumné granty a pr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ojekty, které se týkají jednoho pracoviště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fakulta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25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%</w:t>
      </w:r>
    </w:p>
    <w:p w:rsidR="008F60DD" w:rsidRDefault="00740610" w:rsidP="009D595F">
      <w:pPr>
        <w:widowControl w:val="0"/>
        <w:spacing w:after="0" w:line="240" w:lineRule="auto"/>
        <w:ind w:left="440" w:right="31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sekce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25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% </w:t>
      </w:r>
    </w:p>
    <w:p w:rsidR="00740610" w:rsidRPr="00357226" w:rsidRDefault="00740610" w:rsidP="009D595F">
      <w:pPr>
        <w:widowControl w:val="0"/>
        <w:spacing w:after="0" w:line="240" w:lineRule="auto"/>
        <w:ind w:left="440" w:right="312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pracoviště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50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%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,</w:t>
      </w:r>
    </w:p>
    <w:p w:rsidR="00DA004C" w:rsidRPr="00357226" w:rsidRDefault="00740610" w:rsidP="008F60DD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výzkumné granty a projekty, které přesahují rámec jednoho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pracoviště,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určí </w:t>
      </w:r>
      <w:r w:rsidR="00DA004C"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proděkan ve spolupráci s řešitelem</w:t>
      </w:r>
    </w:p>
    <w:p w:rsidR="00740610" w:rsidRPr="00357226" w:rsidRDefault="00740610" w:rsidP="00DA004C">
      <w:pPr>
        <w:widowControl w:val="0"/>
        <w:spacing w:after="0" w:line="240" w:lineRule="auto"/>
        <w:ind w:left="440" w:right="244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fakulta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25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%</w:t>
      </w:r>
    </w:p>
    <w:p w:rsidR="00740610" w:rsidRPr="00357226" w:rsidRDefault="00740610" w:rsidP="008F60DD">
      <w:pPr>
        <w:widowControl w:val="0"/>
        <w:spacing w:after="0" w:line="240" w:lineRule="auto"/>
        <w:ind w:left="440" w:right="244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sekce 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a pracoviště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ab/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75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%</w:t>
      </w:r>
      <w:r w:rsidR="008F60D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.</w:t>
      </w:r>
    </w:p>
    <w:p w:rsidR="00740610" w:rsidRPr="00357226" w:rsidRDefault="00740610" w:rsidP="009D595F">
      <w:pPr>
        <w:widowControl w:val="0"/>
        <w:numPr>
          <w:ilvl w:val="0"/>
          <w:numId w:val="1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Při kalkulaci sociálního a zdravotního pojištění se počítá s odvody v aktuální stanovené výši.</w:t>
      </w:r>
    </w:p>
    <w:p w:rsidR="00740610" w:rsidRPr="00357226" w:rsidRDefault="00740610" w:rsidP="00BC2F0A">
      <w:pPr>
        <w:widowControl w:val="0"/>
        <w:numPr>
          <w:ilvl w:val="0"/>
          <w:numId w:val="1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Příspěvek do sociálního fondu fakulty</w:t>
      </w:r>
      <w:r w:rsidR="00162666"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je tvořen částkou minimálně 1,5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% z objemu mezd, náhrad mezd a odměn, nikoliv však z částky na ostatní osobní náklady, tj. dohod o provedení práce a dohod o pracovní činnosti. Maximální částka nemůže přesáhnout zákonem stanovenou částku 2%.</w:t>
      </w:r>
    </w:p>
    <w:p w:rsidR="00740610" w:rsidRPr="00357226" w:rsidRDefault="00740610" w:rsidP="00BC2F0A">
      <w:pPr>
        <w:widowControl w:val="0"/>
        <w:numPr>
          <w:ilvl w:val="0"/>
          <w:numId w:val="1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V případě, že poskytovatel požaduje finanční spoluúčast fakulty, musí být takový návrh projektu předem schválen vedoucím toho pracoviště, které bude spoluúčast poskytovat, a příslušným sekčním proděkanem. Z tohoto důvodu musí být k přihlášce výzkumného projektu předkládaného ke schválení přiložen i vyplněný formulář „Příloha k žádosti o přidělení finančních prostředků výzkumných projektů - spoluúčast“ (příloha 2) s podpisy oprávněných osob.</w:t>
      </w:r>
    </w:p>
    <w:p w:rsidR="00043063" w:rsidRPr="00357226" w:rsidRDefault="00043063" w:rsidP="00043063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043063" w:rsidRPr="00357226" w:rsidRDefault="00043063" w:rsidP="00043063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043063" w:rsidRPr="00357226" w:rsidRDefault="00043063" w:rsidP="00043063">
      <w:pPr>
        <w:widowControl w:val="0"/>
        <w:spacing w:after="0" w:line="240" w:lineRule="auto"/>
        <w:ind w:left="3540" w:right="200" w:firstLine="708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cs-CZ" w:bidi="cs-CZ"/>
        </w:rPr>
        <w:t>Čl. 3</w:t>
      </w:r>
    </w:p>
    <w:p w:rsidR="00043063" w:rsidRPr="00357226" w:rsidRDefault="00043063" w:rsidP="00043063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043063" w:rsidRPr="00357226" w:rsidRDefault="00043063" w:rsidP="0004306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7226">
        <w:rPr>
          <w:rFonts w:ascii="Times New Roman" w:hAnsi="Times New Roman" w:cs="Times New Roman"/>
          <w:b/>
          <w:sz w:val="21"/>
          <w:szCs w:val="21"/>
        </w:rPr>
        <w:t>Výpočet osobních nákladů v projektech Horizon2020, financovaných EU</w:t>
      </w:r>
    </w:p>
    <w:p w:rsidR="00043063" w:rsidRPr="00357226" w:rsidRDefault="00043063" w:rsidP="00BC2F0A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 xml:space="preserve">Výpočet osobních nákladů v projektech Horizon2020 se řídí vždy </w:t>
      </w:r>
      <w:r w:rsidR="008F60DD">
        <w:rPr>
          <w:rFonts w:ascii="Times New Roman" w:hAnsi="Times New Roman" w:cs="Times New Roman"/>
          <w:sz w:val="21"/>
          <w:szCs w:val="21"/>
        </w:rPr>
        <w:t>aktuální</w:t>
      </w:r>
      <w:bookmarkStart w:id="2" w:name="_GoBack"/>
      <w:bookmarkEnd w:id="2"/>
      <w:r w:rsidRPr="00357226">
        <w:rPr>
          <w:rFonts w:ascii="Times New Roman" w:hAnsi="Times New Roman" w:cs="Times New Roman"/>
          <w:sz w:val="21"/>
          <w:szCs w:val="21"/>
        </w:rPr>
        <w:t xml:space="preserve"> verzí Anotované modelové grantové dohody (AMGA), zveřejňované mezi </w:t>
      </w:r>
      <w:r w:rsidRPr="00357226">
        <w:rPr>
          <w:rFonts w:ascii="Times New Roman" w:hAnsi="Times New Roman" w:cs="Times New Roman"/>
          <w:i/>
          <w:sz w:val="21"/>
          <w:szCs w:val="21"/>
        </w:rPr>
        <w:t xml:space="preserve">Reference </w:t>
      </w:r>
      <w:proofErr w:type="spellStart"/>
      <w:r w:rsidRPr="00357226">
        <w:rPr>
          <w:rFonts w:ascii="Times New Roman" w:hAnsi="Times New Roman" w:cs="Times New Roman"/>
          <w:i/>
          <w:sz w:val="21"/>
          <w:szCs w:val="21"/>
        </w:rPr>
        <w:t>Documents</w:t>
      </w:r>
      <w:proofErr w:type="spellEnd"/>
      <w:r w:rsidRPr="00357226">
        <w:rPr>
          <w:rFonts w:ascii="Times New Roman" w:hAnsi="Times New Roman" w:cs="Times New Roman"/>
          <w:sz w:val="21"/>
          <w:szCs w:val="21"/>
        </w:rPr>
        <w:t xml:space="preserve"> na </w:t>
      </w:r>
      <w:r w:rsidRPr="00357226">
        <w:rPr>
          <w:rFonts w:ascii="Times New Roman" w:hAnsi="Times New Roman" w:cs="Times New Roman"/>
          <w:i/>
          <w:sz w:val="21"/>
          <w:szCs w:val="21"/>
        </w:rPr>
        <w:t xml:space="preserve">Participant </w:t>
      </w:r>
      <w:proofErr w:type="spellStart"/>
      <w:r w:rsidRPr="00357226">
        <w:rPr>
          <w:rFonts w:ascii="Times New Roman" w:hAnsi="Times New Roman" w:cs="Times New Roman"/>
          <w:i/>
          <w:sz w:val="21"/>
          <w:szCs w:val="21"/>
        </w:rPr>
        <w:t>Portal</w:t>
      </w:r>
      <w:proofErr w:type="spellEnd"/>
      <w:r w:rsidRPr="00357226">
        <w:rPr>
          <w:rFonts w:ascii="Times New Roman" w:hAnsi="Times New Roman" w:cs="Times New Roman"/>
          <w:sz w:val="21"/>
          <w:szCs w:val="21"/>
        </w:rPr>
        <w:t xml:space="preserve"> (</w:t>
      </w:r>
      <w:hyperlink r:id="rId6" w:history="1">
        <w:r w:rsidRPr="00357226">
          <w:rPr>
            <w:rStyle w:val="Hypertextovodkaz"/>
            <w:rFonts w:ascii="Times New Roman" w:hAnsi="Times New Roman" w:cs="Times New Roman"/>
            <w:sz w:val="21"/>
            <w:szCs w:val="21"/>
          </w:rPr>
          <w:t>http://ec.europa.eu/research/participants/portal/desktop/en/funding/reference_docs.html</w:t>
        </w:r>
      </w:hyperlink>
      <w:r w:rsidRPr="00357226">
        <w:rPr>
          <w:rFonts w:ascii="Times New Roman" w:hAnsi="Times New Roman" w:cs="Times New Roman"/>
          <w:sz w:val="21"/>
          <w:szCs w:val="21"/>
        </w:rPr>
        <w:t>).</w:t>
      </w:r>
    </w:p>
    <w:p w:rsidR="00043063" w:rsidRPr="00357226" w:rsidRDefault="00043063" w:rsidP="00043063">
      <w:pPr>
        <w:pStyle w:val="Odstavecseseznamem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043063" w:rsidRPr="00357226" w:rsidRDefault="00043063" w:rsidP="00BC2F0A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 xml:space="preserve">Na úrovni příjemce je dle AMGA nutné harmonizovat užívání následujících metod (viz AMGA </w:t>
      </w:r>
      <w:proofErr w:type="spellStart"/>
      <w:r w:rsidRPr="00357226">
        <w:rPr>
          <w:rFonts w:ascii="Times New Roman" w:hAnsi="Times New Roman" w:cs="Times New Roman"/>
          <w:sz w:val="21"/>
          <w:szCs w:val="21"/>
        </w:rPr>
        <w:t>Article</w:t>
      </w:r>
      <w:proofErr w:type="spellEnd"/>
      <w:r w:rsidRPr="0035722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57226">
        <w:rPr>
          <w:rFonts w:ascii="Times New Roman" w:hAnsi="Times New Roman" w:cs="Times New Roman"/>
          <w:sz w:val="21"/>
          <w:szCs w:val="21"/>
        </w:rPr>
        <w:t>6.2.A.</w:t>
      </w:r>
      <w:proofErr w:type="gramEnd"/>
      <w:r w:rsidRPr="00357226">
        <w:rPr>
          <w:rFonts w:ascii="Times New Roman" w:hAnsi="Times New Roman" w:cs="Times New Roman"/>
          <w:sz w:val="21"/>
          <w:szCs w:val="21"/>
        </w:rPr>
        <w:t>1):</w:t>
      </w:r>
    </w:p>
    <w:p w:rsidR="00043063" w:rsidRPr="00357226" w:rsidRDefault="00043063" w:rsidP="0004306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>Výpočet hodinové sazby na bázi měsíční nebo na bázi jednoho finančního roku</w:t>
      </w:r>
    </w:p>
    <w:p w:rsidR="00043063" w:rsidRPr="00357226" w:rsidRDefault="00043063" w:rsidP="0004306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>Použití téhož způsobu výpočtu ročních produktivních hodin pro stejný typ personálu</w:t>
      </w:r>
    </w:p>
    <w:p w:rsidR="00043063" w:rsidRPr="00357226" w:rsidRDefault="00043063" w:rsidP="00043063">
      <w:pPr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>Na úrovni Přírodovědecké fakulty bude jednotně aplikována metoda výpočtu hodinové sazby na bázi jednoho finančního roku a jako roční produktivní hodiny bude jednotně používán počet 1720 pro všechny typy personálu.</w:t>
      </w:r>
    </w:p>
    <w:p w:rsidR="00043063" w:rsidRPr="00357226" w:rsidRDefault="00043063" w:rsidP="00043063">
      <w:pPr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lastRenderedPageBreak/>
        <w:t>Tyto možnosti mohou být změněny pouze v dalším finančním roce vydáním nového opatření.</w:t>
      </w:r>
    </w:p>
    <w:p w:rsidR="00043063" w:rsidRPr="00357226" w:rsidRDefault="00043063" w:rsidP="00BC2F0A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 xml:space="preserve">Administrátoři připravující monitorovací zprávy jednotlivých projektů Horizon2020 jsou povinni kalkulaci vykazovaných osobních nákladů konzultovat s Oddělením projektového řízení (Mgr. Tomáš </w:t>
      </w:r>
      <w:proofErr w:type="spellStart"/>
      <w:r w:rsidRPr="00357226">
        <w:rPr>
          <w:rFonts w:ascii="Times New Roman" w:hAnsi="Times New Roman" w:cs="Times New Roman"/>
          <w:sz w:val="21"/>
          <w:szCs w:val="21"/>
        </w:rPr>
        <w:t>Palatý</w:t>
      </w:r>
      <w:proofErr w:type="spellEnd"/>
      <w:r w:rsidRPr="00357226">
        <w:rPr>
          <w:rFonts w:ascii="Times New Roman" w:hAnsi="Times New Roman" w:cs="Times New Roman"/>
          <w:sz w:val="21"/>
          <w:szCs w:val="21"/>
        </w:rPr>
        <w:t>).</w:t>
      </w:r>
    </w:p>
    <w:p w:rsidR="00043063" w:rsidRPr="00357226" w:rsidRDefault="00043063" w:rsidP="00043063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740610" w:rsidRPr="00357226" w:rsidRDefault="00043063" w:rsidP="009D595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  <w:t>Čl. 4</w:t>
      </w:r>
    </w:p>
    <w:p w:rsidR="00D50747" w:rsidRPr="00357226" w:rsidRDefault="00D50747" w:rsidP="009D595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  <w:t>Závěrečná ustanovení</w:t>
      </w:r>
    </w:p>
    <w:p w:rsidR="00D50747" w:rsidRPr="00357226" w:rsidRDefault="00D50747" w:rsidP="009D595F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eastAsia="cs-CZ" w:bidi="cs-CZ"/>
        </w:rPr>
      </w:pPr>
    </w:p>
    <w:p w:rsidR="00740610" w:rsidRPr="00357226" w:rsidRDefault="00740610" w:rsidP="00BC2F0A">
      <w:pPr>
        <w:widowControl w:val="0"/>
        <w:numPr>
          <w:ilvl w:val="0"/>
          <w:numId w:val="3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Osobami odpovědnými za dodržování a kontrolu tohoto opatření stanovuji vedoucí oddělení podpory vědy a vedoucího ekonomického oddělení.</w:t>
      </w:r>
    </w:p>
    <w:p w:rsidR="00740610" w:rsidRPr="00357226" w:rsidRDefault="00740610" w:rsidP="00BC2F0A">
      <w:pPr>
        <w:widowControl w:val="0"/>
        <w:numPr>
          <w:ilvl w:val="0"/>
          <w:numId w:val="3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Doložením a zdůvodněním případným kontrolám pověřuji vedoucího ekonomického oddělení.</w:t>
      </w:r>
    </w:p>
    <w:p w:rsidR="00740610" w:rsidRPr="00357226" w:rsidRDefault="00740610" w:rsidP="00BC2F0A">
      <w:pPr>
        <w:widowControl w:val="0"/>
        <w:numPr>
          <w:ilvl w:val="0"/>
          <w:numId w:val="3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Toto opa</w:t>
      </w:r>
      <w:r w:rsidR="00D50747"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tření ruší opatření děkana č. 12/2016</w:t>
      </w: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ke kalkulacím finančních nákladů projektů vědy a výzkumu.</w:t>
      </w:r>
    </w:p>
    <w:p w:rsidR="00740610" w:rsidRPr="00357226" w:rsidRDefault="00740610" w:rsidP="00BC2F0A">
      <w:pPr>
        <w:widowControl w:val="0"/>
        <w:numPr>
          <w:ilvl w:val="0"/>
          <w:numId w:val="3"/>
        </w:numPr>
        <w:spacing w:after="0" w:line="240" w:lineRule="auto"/>
        <w:ind w:left="28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 xml:space="preserve"> Toto opatření nabývá platnosti a účinnosti dnem vydání.</w:t>
      </w:r>
    </w:p>
    <w:p w:rsidR="00740610" w:rsidRPr="00357226" w:rsidRDefault="00740610" w:rsidP="009D595F">
      <w:pPr>
        <w:widowControl w:val="0"/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</w:p>
    <w:p w:rsidR="00740610" w:rsidRPr="00357226" w:rsidRDefault="00740610" w:rsidP="009D595F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Nedílnou součástí tohoto opatření je:</w:t>
      </w:r>
    </w:p>
    <w:p w:rsidR="00740610" w:rsidRPr="00357226" w:rsidRDefault="00740610" w:rsidP="009D595F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Příloha 1 - Výpočet podílu nepřímých nákladů (režie)</w:t>
      </w:r>
    </w:p>
    <w:p w:rsidR="00740610" w:rsidRPr="00357226" w:rsidRDefault="00740610" w:rsidP="009D595F">
      <w:pPr>
        <w:widowControl w:val="0"/>
        <w:spacing w:after="0" w:line="240" w:lineRule="auto"/>
        <w:ind w:left="300" w:hanging="28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</w:pPr>
      <w:r w:rsidRPr="0035722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cs-CZ" w:bidi="cs-CZ"/>
        </w:rPr>
        <w:t>Příloha 2 - Příloha k žádosti o přidělení finančních prostředků výzkumných projektů - spoluúčast</w:t>
      </w:r>
    </w:p>
    <w:p w:rsidR="00DF6D95" w:rsidRPr="00357226" w:rsidRDefault="00DF6D95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40610" w:rsidRPr="00357226" w:rsidRDefault="00740610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40610" w:rsidRPr="00357226" w:rsidRDefault="00BC2F0A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>V Praze</w:t>
      </w:r>
      <w:r w:rsidR="00740610" w:rsidRPr="00357226">
        <w:rPr>
          <w:rFonts w:ascii="Times New Roman" w:hAnsi="Times New Roman" w:cs="Times New Roman"/>
          <w:sz w:val="21"/>
          <w:szCs w:val="21"/>
        </w:rPr>
        <w:t xml:space="preserve"> dne </w:t>
      </w:r>
      <w:r w:rsidR="00357226">
        <w:rPr>
          <w:rFonts w:ascii="Times New Roman" w:hAnsi="Times New Roman" w:cs="Times New Roman"/>
          <w:sz w:val="21"/>
          <w:szCs w:val="21"/>
        </w:rPr>
        <w:t>30. 0</w:t>
      </w:r>
      <w:r w:rsidR="00DA004C" w:rsidRPr="00357226">
        <w:rPr>
          <w:rFonts w:ascii="Times New Roman" w:hAnsi="Times New Roman" w:cs="Times New Roman"/>
          <w:sz w:val="21"/>
          <w:szCs w:val="21"/>
        </w:rPr>
        <w:t>1.</w:t>
      </w:r>
      <w:r w:rsidR="00357226">
        <w:rPr>
          <w:rFonts w:ascii="Times New Roman" w:hAnsi="Times New Roman" w:cs="Times New Roman"/>
          <w:sz w:val="21"/>
          <w:szCs w:val="21"/>
        </w:rPr>
        <w:t xml:space="preserve"> </w:t>
      </w:r>
      <w:r w:rsidR="00DA004C" w:rsidRPr="00357226">
        <w:rPr>
          <w:rFonts w:ascii="Times New Roman" w:hAnsi="Times New Roman" w:cs="Times New Roman"/>
          <w:sz w:val="21"/>
          <w:szCs w:val="21"/>
        </w:rPr>
        <w:t>2018</w:t>
      </w:r>
    </w:p>
    <w:p w:rsidR="00740610" w:rsidRPr="00357226" w:rsidRDefault="00740610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0747" w:rsidRPr="00357226" w:rsidRDefault="00D50747" w:rsidP="009D595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40610" w:rsidRPr="00357226" w:rsidRDefault="00740610" w:rsidP="00BC2F0A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740610" w:rsidRPr="00357226" w:rsidRDefault="00043063" w:rsidP="00BC2F0A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</w:t>
      </w:r>
      <w:r w:rsidR="00BC2F0A" w:rsidRPr="00357226">
        <w:rPr>
          <w:rFonts w:ascii="Times New Roman" w:hAnsi="Times New Roman" w:cs="Times New Roman"/>
          <w:sz w:val="21"/>
          <w:szCs w:val="21"/>
        </w:rPr>
        <w:t>p</w:t>
      </w:r>
      <w:r w:rsidR="00740610" w:rsidRPr="00357226">
        <w:rPr>
          <w:rFonts w:ascii="Times New Roman" w:hAnsi="Times New Roman" w:cs="Times New Roman"/>
          <w:sz w:val="21"/>
          <w:szCs w:val="21"/>
        </w:rPr>
        <w:t>rof. RNDr. Jiří Zima, CSc.</w:t>
      </w:r>
    </w:p>
    <w:p w:rsidR="00026B58" w:rsidRPr="00357226" w:rsidRDefault="00043063" w:rsidP="00922FC1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5722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  <w:r w:rsidR="00740610" w:rsidRPr="00357226">
        <w:rPr>
          <w:rFonts w:ascii="Times New Roman" w:hAnsi="Times New Roman" w:cs="Times New Roman"/>
          <w:sz w:val="21"/>
          <w:szCs w:val="21"/>
        </w:rPr>
        <w:t>děkan fakulty</w:t>
      </w:r>
    </w:p>
    <w:p w:rsidR="00026B58" w:rsidRPr="00357226" w:rsidRDefault="00026B58">
      <w:pPr>
        <w:rPr>
          <w:sz w:val="21"/>
          <w:szCs w:val="21"/>
        </w:rPr>
      </w:pPr>
    </w:p>
    <w:p w:rsidR="00026B58" w:rsidRPr="00357226" w:rsidRDefault="00026B58">
      <w:pPr>
        <w:rPr>
          <w:sz w:val="21"/>
          <w:szCs w:val="21"/>
        </w:rPr>
      </w:pPr>
    </w:p>
    <w:p w:rsidR="00026B58" w:rsidRPr="00357226" w:rsidRDefault="00026B58">
      <w:pPr>
        <w:rPr>
          <w:sz w:val="21"/>
          <w:szCs w:val="21"/>
        </w:rPr>
      </w:pPr>
    </w:p>
    <w:p w:rsidR="00740610" w:rsidRPr="00357226" w:rsidRDefault="00740610">
      <w:pPr>
        <w:rPr>
          <w:sz w:val="21"/>
          <w:szCs w:val="21"/>
        </w:rPr>
      </w:pPr>
    </w:p>
    <w:sectPr w:rsidR="00740610" w:rsidRPr="0035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678"/>
    <w:multiLevelType w:val="hybridMultilevel"/>
    <w:tmpl w:val="3A66D5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681B"/>
    <w:multiLevelType w:val="multilevel"/>
    <w:tmpl w:val="F336E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0213E"/>
    <w:multiLevelType w:val="hybridMultilevel"/>
    <w:tmpl w:val="90E40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56B"/>
    <w:multiLevelType w:val="multilevel"/>
    <w:tmpl w:val="497EC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E26BA1"/>
    <w:multiLevelType w:val="multilevel"/>
    <w:tmpl w:val="B066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0"/>
    <w:rsid w:val="00026B58"/>
    <w:rsid w:val="00043063"/>
    <w:rsid w:val="00162666"/>
    <w:rsid w:val="00357226"/>
    <w:rsid w:val="003B7AFA"/>
    <w:rsid w:val="00726F41"/>
    <w:rsid w:val="00740610"/>
    <w:rsid w:val="008F60DD"/>
    <w:rsid w:val="00922FC1"/>
    <w:rsid w:val="009D595F"/>
    <w:rsid w:val="00BC2F0A"/>
    <w:rsid w:val="00CA3612"/>
    <w:rsid w:val="00D50747"/>
    <w:rsid w:val="00DA004C"/>
    <w:rsid w:val="00DF6D95"/>
    <w:rsid w:val="00E47B55"/>
    <w:rsid w:val="00F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332"/>
  <w15:chartTrackingRefBased/>
  <w15:docId w15:val="{DB626822-DD49-40BA-83CD-1123EA49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rsid w:val="0074061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40610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740610"/>
    <w:pPr>
      <w:widowControl w:val="0"/>
      <w:shd w:val="clear" w:color="auto" w:fill="FFFFFF"/>
      <w:spacing w:after="480" w:line="250" w:lineRule="exact"/>
      <w:ind w:hanging="280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Nadpis10">
    <w:name w:val="Nadpis #1"/>
    <w:basedOn w:val="Normln"/>
    <w:link w:val="Nadpis1"/>
    <w:rsid w:val="00740610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0430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3063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research/participants/portal/desktop/en/funding/reference_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9BD8-3401-40E9-A7AD-2059680A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Trla Karel</dc:creator>
  <cp:keywords/>
  <dc:description/>
  <cp:lastModifiedBy>Zastavova Karolina</cp:lastModifiedBy>
  <cp:revision>6</cp:revision>
  <cp:lastPrinted>2018-01-30T11:52:00Z</cp:lastPrinted>
  <dcterms:created xsi:type="dcterms:W3CDTF">2018-01-30T11:48:00Z</dcterms:created>
  <dcterms:modified xsi:type="dcterms:W3CDTF">2018-01-30T12:15:00Z</dcterms:modified>
</cp:coreProperties>
</file>