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1954" w:rsidRPr="0029523E" w:rsidRDefault="00CA3B48">
      <w:pPr>
        <w:spacing w:after="0"/>
        <w:rPr>
          <w:rFonts w:asciiTheme="minorHAnsi" w:hAnsiTheme="minorHAnsi"/>
        </w:rPr>
      </w:pPr>
      <w:bookmarkStart w:id="0" w:name="_GoBack"/>
      <w:bookmarkEnd w:id="0"/>
      <w:r w:rsidRPr="0029523E">
        <w:rPr>
          <w:rFonts w:asciiTheme="minorHAnsi" w:eastAsia="Times New Roman" w:hAnsiTheme="minorHAnsi" w:cs="Times New Roman"/>
        </w:rPr>
        <w:t xml:space="preserve">Univerzita Karlova </w:t>
      </w:r>
    </w:p>
    <w:p w:rsidR="00BE1954" w:rsidRPr="0029523E" w:rsidRDefault="00CA3B48">
      <w:pPr>
        <w:spacing w:after="0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</w:rPr>
        <w:t xml:space="preserve">Přírodovědecká fakulta </w:t>
      </w:r>
    </w:p>
    <w:p w:rsidR="00BE1954" w:rsidRPr="0029523E" w:rsidRDefault="00CA3B48">
      <w:pPr>
        <w:spacing w:after="0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</w:rPr>
        <w:t xml:space="preserve">Albertov 6 </w:t>
      </w:r>
    </w:p>
    <w:p w:rsidR="00BE1954" w:rsidRPr="0029523E" w:rsidRDefault="00CA3B48">
      <w:pPr>
        <w:spacing w:after="0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</w:rPr>
        <w:t xml:space="preserve">128 43 PRAHA 2 </w:t>
      </w:r>
    </w:p>
    <w:p w:rsidR="00BE1954" w:rsidRPr="0029523E" w:rsidRDefault="00BE1954">
      <w:pPr>
        <w:spacing w:after="0"/>
        <w:rPr>
          <w:rFonts w:asciiTheme="minorHAnsi" w:hAnsiTheme="minorHAnsi"/>
        </w:rPr>
      </w:pPr>
    </w:p>
    <w:p w:rsidR="00BE1954" w:rsidRPr="0029523E" w:rsidRDefault="00CA3B48">
      <w:pPr>
        <w:spacing w:after="0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 xml:space="preserve">Opatření děkana č. </w:t>
      </w:r>
      <w:r w:rsidR="0065669E" w:rsidRPr="0029523E">
        <w:rPr>
          <w:rFonts w:asciiTheme="minorHAnsi" w:eastAsia="Times New Roman" w:hAnsiTheme="minorHAnsi" w:cs="Times New Roman"/>
          <w:b/>
        </w:rPr>
        <w:t>15</w:t>
      </w:r>
      <w:r w:rsidRPr="0029523E">
        <w:rPr>
          <w:rFonts w:asciiTheme="minorHAnsi" w:eastAsia="Times New Roman" w:hAnsiTheme="minorHAnsi" w:cs="Times New Roman"/>
          <w:b/>
        </w:rPr>
        <w:t>/2016</w:t>
      </w:r>
    </w:p>
    <w:p w:rsidR="00BE1954" w:rsidRPr="0029523E" w:rsidRDefault="00CA3B48">
      <w:pPr>
        <w:spacing w:after="0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k oběhu, uzavírání a archivaci smluv</w:t>
      </w:r>
    </w:p>
    <w:p w:rsidR="00BE1954" w:rsidRPr="0029523E" w:rsidRDefault="00BE1954">
      <w:pPr>
        <w:spacing w:after="0"/>
        <w:jc w:val="center"/>
        <w:rPr>
          <w:rFonts w:asciiTheme="minorHAnsi" w:hAnsiTheme="minorHAnsi"/>
        </w:rPr>
      </w:pPr>
    </w:p>
    <w:p w:rsidR="00BE1954" w:rsidRPr="0029523E" w:rsidRDefault="00CA3B48">
      <w:pPr>
        <w:spacing w:after="0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Čl. I</w:t>
      </w:r>
    </w:p>
    <w:p w:rsidR="00BE1954" w:rsidRPr="0029523E" w:rsidRDefault="00CA3B48">
      <w:pPr>
        <w:spacing w:after="0"/>
        <w:jc w:val="center"/>
        <w:rPr>
          <w:rFonts w:asciiTheme="minorHAnsi" w:hAnsiTheme="minorHAnsi"/>
        </w:rPr>
      </w:pPr>
      <w:r w:rsidRPr="0029523E">
        <w:rPr>
          <w:rFonts w:asciiTheme="minorHAnsi" w:hAnsiTheme="minorHAnsi"/>
          <w:b/>
        </w:rPr>
        <w:t>Úvodní ustanovení</w:t>
      </w:r>
    </w:p>
    <w:p w:rsidR="00BE1954" w:rsidRPr="0029523E" w:rsidRDefault="00CA3B48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Toto opatření upravuje uzavírání a archivaci smluv, u nichž jednou ze smluvních stran je Univerzita Karlova, Přírodovědecká fakulta (dále „fakulta“). </w:t>
      </w:r>
    </w:p>
    <w:p w:rsidR="00BE1954" w:rsidRPr="0029523E" w:rsidRDefault="00CA3B48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Smlouvami se rozumí:</w:t>
      </w:r>
    </w:p>
    <w:p w:rsidR="00BE1954" w:rsidRPr="0029523E" w:rsidRDefault="00CA3B48">
      <w:pPr>
        <w:numPr>
          <w:ilvl w:val="1"/>
          <w:numId w:val="7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smlouvy pracovněprávní uzavírané podle zákoníku práce mezi fakultou jako zaměstnavatelem a jejími zaměstnanci, zejména: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pracovní smlouva,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dohoda o provedení práce,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dohoda o pracovní činnosti,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dohoda o rozvázání pracovního poměru,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dohoda o srážkách ze mzdy,</w:t>
      </w:r>
    </w:p>
    <w:p w:rsidR="00BE1954" w:rsidRPr="0029523E" w:rsidRDefault="00CA3B48">
      <w:pPr>
        <w:numPr>
          <w:ilvl w:val="1"/>
          <w:numId w:val="7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smlouvy grantové a projektové, smlouvy o poskytnutí dotace či obdobných prostředků, smlouvy spoluřešitelské, smlouvy o řešení části grantového projektu a smlouvy o spolupráci při plnění grantu či dotovaného projektu</w:t>
      </w:r>
      <w:r w:rsidRPr="0029523E">
        <w:rPr>
          <w:rFonts w:asciiTheme="minorHAnsi" w:hAnsiTheme="minorHAnsi"/>
          <w:vertAlign w:val="superscript"/>
        </w:rPr>
        <w:footnoteReference w:id="1"/>
      </w:r>
      <w:r w:rsidRPr="0029523E">
        <w:rPr>
          <w:rFonts w:asciiTheme="minorHAnsi" w:hAnsiTheme="minorHAnsi"/>
        </w:rPr>
        <w:t>,</w:t>
      </w:r>
    </w:p>
    <w:p w:rsidR="00BE1954" w:rsidRPr="0029523E" w:rsidRDefault="00CA3B48">
      <w:pPr>
        <w:numPr>
          <w:ilvl w:val="1"/>
          <w:numId w:val="7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smlouvy provozní sloužící k zajištění: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působnosti fakulty po materiální stránce, jedná se zejména o smlouvy na veřejné zakázky a o smlouvy o nakládání s majetkem, např. kupní smlouvy, darovací smlouvy, smlouvy o dílo a další,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spolupráce s partnerskými organizacemi, 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doplňkové činnosti a smluvního výzkumu,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smlouvy uzavírané se studenty jako samoplátci,</w:t>
      </w:r>
    </w:p>
    <w:p w:rsidR="00BE1954" w:rsidRPr="0029523E" w:rsidRDefault="00CA3B48">
      <w:pPr>
        <w:numPr>
          <w:ilvl w:val="2"/>
          <w:numId w:val="7"/>
        </w:numPr>
        <w:spacing w:after="0"/>
        <w:ind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smlouvy týkající se zajištění výuky.</w:t>
      </w:r>
    </w:p>
    <w:p w:rsidR="00BE1954" w:rsidRPr="0029523E" w:rsidRDefault="00CA3B48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Veškeré smlouvy uzavírá za fakultu děkan s výjimkou:</w:t>
      </w:r>
    </w:p>
    <w:p w:rsidR="00BE1954" w:rsidRPr="0029523E" w:rsidRDefault="00CA3B48">
      <w:pPr>
        <w:numPr>
          <w:ilvl w:val="1"/>
          <w:numId w:val="8"/>
        </w:numPr>
        <w:spacing w:after="0"/>
        <w:ind w:hanging="36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smluv, jejichž uzavření náleží rektorovi nebo kvestorovi,</w:t>
      </w:r>
    </w:p>
    <w:p w:rsidR="00BE1954" w:rsidRPr="0029523E" w:rsidRDefault="00CA3B48">
      <w:pPr>
        <w:numPr>
          <w:ilvl w:val="1"/>
          <w:numId w:val="8"/>
        </w:numPr>
        <w:spacing w:after="0"/>
        <w:ind w:hanging="36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dohody o provedení práce a dohody o pracovní činnosti, které uzavírá za fakultu tajemník,</w:t>
      </w:r>
    </w:p>
    <w:p w:rsidR="00BE1954" w:rsidRPr="0029523E" w:rsidRDefault="00CA3B48">
      <w:pPr>
        <w:numPr>
          <w:ilvl w:val="1"/>
          <w:numId w:val="8"/>
        </w:numPr>
        <w:spacing w:after="0"/>
        <w:ind w:hanging="36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dohody se zaměstnancem o srážce ze mzdy, které uzavírá za fakultu vedoucí zaměstnaneckého oddělení.</w:t>
      </w:r>
    </w:p>
    <w:p w:rsidR="00BE1954" w:rsidRPr="0029523E" w:rsidRDefault="00CA3B48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Děkan je oprávněn písemně pověřit uzavřením smlouvy nebo uzavíráním určitého typu smluv třetí osobu.</w:t>
      </w:r>
    </w:p>
    <w:p w:rsidR="00BE1954" w:rsidRPr="0029523E" w:rsidRDefault="00CA3B48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Osoba uzavírající za fakultu smlouvu schvaluje svým podpisem obsah smlouvy, při tom se opírá o stanoviska zaměstnanců, kteří smlouvu připravili a schválili.</w:t>
      </w:r>
    </w:p>
    <w:p w:rsidR="00BE1954" w:rsidRPr="0029523E" w:rsidRDefault="00CA3B48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Ustanovení tohoto opatření se uplatní rovněž při uzavírání dodatků k již uzavřeným smlouvám.</w:t>
      </w:r>
    </w:p>
    <w:p w:rsidR="00BE1954" w:rsidRPr="0029523E" w:rsidRDefault="00BE1954">
      <w:pPr>
        <w:spacing w:after="0"/>
        <w:rPr>
          <w:rFonts w:asciiTheme="minorHAnsi" w:hAnsiTheme="minorHAnsi"/>
        </w:rPr>
      </w:pPr>
    </w:p>
    <w:p w:rsidR="0029523E" w:rsidRDefault="0029523E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29523E" w:rsidRDefault="0029523E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BE1954" w:rsidRPr="0029523E" w:rsidRDefault="00CA3B48">
      <w:pPr>
        <w:spacing w:after="0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lastRenderedPageBreak/>
        <w:t>Čl. II</w:t>
      </w:r>
    </w:p>
    <w:p w:rsidR="00BE1954" w:rsidRPr="0029523E" w:rsidRDefault="00CA3B48">
      <w:pPr>
        <w:spacing w:after="0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Pracovněprávní smlouvy</w:t>
      </w:r>
    </w:p>
    <w:p w:rsidR="00BE1954" w:rsidRPr="0029523E" w:rsidRDefault="00CA3B48">
      <w:pPr>
        <w:numPr>
          <w:ilvl w:val="0"/>
          <w:numId w:val="1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Pracovněprávní smlouvu připravuje, za správnost odpovídá a k podpisu předkládá zaměstnanecké oddělení.</w:t>
      </w:r>
    </w:p>
    <w:p w:rsidR="00BE1954" w:rsidRPr="0029523E" w:rsidRDefault="00CA3B48">
      <w:pPr>
        <w:numPr>
          <w:ilvl w:val="0"/>
          <w:numId w:val="1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Příslušné fakultní pracoviště </w:t>
      </w:r>
      <w:r w:rsidR="001A6B93">
        <w:rPr>
          <w:rFonts w:asciiTheme="minorHAnsi" w:hAnsiTheme="minorHAnsi"/>
        </w:rPr>
        <w:t>(</w:t>
      </w:r>
      <w:r w:rsidRPr="0029523E">
        <w:rPr>
          <w:rFonts w:asciiTheme="minorHAnsi" w:hAnsiTheme="minorHAnsi"/>
        </w:rPr>
        <w:t>v případě potřeby uzavření pracovněprávní smlouvy</w:t>
      </w:r>
      <w:r w:rsidR="001A6B93">
        <w:rPr>
          <w:rFonts w:asciiTheme="minorHAnsi" w:hAnsiTheme="minorHAnsi"/>
        </w:rPr>
        <w:t>)</w:t>
      </w:r>
      <w:r w:rsidRPr="0029523E">
        <w:rPr>
          <w:rFonts w:asciiTheme="minorHAnsi" w:hAnsiTheme="minorHAnsi"/>
        </w:rPr>
        <w:t xml:space="preserve"> předloží</w:t>
      </w:r>
      <w:r w:rsidR="001A6B93">
        <w:rPr>
          <w:rFonts w:asciiTheme="minorHAnsi" w:hAnsiTheme="minorHAnsi"/>
        </w:rPr>
        <w:t xml:space="preserve"> zpravidla 30 dnů předem</w:t>
      </w:r>
      <w:r w:rsidRPr="0029523E">
        <w:rPr>
          <w:rFonts w:asciiTheme="minorHAnsi" w:hAnsiTheme="minorHAnsi"/>
        </w:rPr>
        <w:t xml:space="preserve"> zaměstnaneckému oddělení žádost obsahující veškeré rozhodné podklady pro vytvoření pracovněprávní smlouvy. V</w:t>
      </w:r>
      <w:r w:rsidR="001A6B93">
        <w:rPr>
          <w:rFonts w:asciiTheme="minorHAnsi" w:hAnsiTheme="minorHAnsi"/>
        </w:rPr>
        <w:t> </w:t>
      </w:r>
      <w:r w:rsidRPr="0029523E">
        <w:rPr>
          <w:rFonts w:asciiTheme="minorHAnsi" w:hAnsiTheme="minorHAnsi"/>
        </w:rPr>
        <w:t>případ</w:t>
      </w:r>
      <w:r w:rsidR="001A6B93">
        <w:rPr>
          <w:rFonts w:asciiTheme="minorHAnsi" w:hAnsiTheme="minorHAnsi"/>
        </w:rPr>
        <w:t>ě potřeby</w:t>
      </w:r>
      <w:r w:rsidRPr="0029523E">
        <w:rPr>
          <w:rFonts w:asciiTheme="minorHAnsi" w:hAnsiTheme="minorHAnsi"/>
        </w:rPr>
        <w:t xml:space="preserve"> </w:t>
      </w:r>
      <w:r w:rsidR="001A6B93" w:rsidRPr="0029523E">
        <w:rPr>
          <w:rFonts w:asciiTheme="minorHAnsi" w:hAnsiTheme="minorHAnsi"/>
        </w:rPr>
        <w:t>spolupracuje</w:t>
      </w:r>
      <w:r w:rsidR="001A6B93" w:rsidRPr="0029523E">
        <w:rPr>
          <w:rFonts w:asciiTheme="minorHAnsi" w:hAnsiTheme="minorHAnsi"/>
        </w:rPr>
        <w:t xml:space="preserve"> </w:t>
      </w:r>
      <w:r w:rsidRPr="0029523E">
        <w:rPr>
          <w:rFonts w:asciiTheme="minorHAnsi" w:hAnsiTheme="minorHAnsi"/>
        </w:rPr>
        <w:t>zaměstnanecké oddělení s fakultním právníkem.</w:t>
      </w:r>
    </w:p>
    <w:p w:rsidR="00BE1954" w:rsidRPr="0029523E" w:rsidRDefault="00CA3B48">
      <w:pPr>
        <w:numPr>
          <w:ilvl w:val="0"/>
          <w:numId w:val="1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Zaměstnanecké oddělení zajišťuje ve spolupráci s příslušným pracovištěm uzavření pracovněprávní smlouvy </w:t>
      </w:r>
      <w:r w:rsidR="001A6B93">
        <w:rPr>
          <w:rFonts w:asciiTheme="minorHAnsi" w:hAnsiTheme="minorHAnsi"/>
        </w:rPr>
        <w:t>s</w:t>
      </w:r>
      <w:r w:rsidRPr="0029523E">
        <w:rPr>
          <w:rFonts w:asciiTheme="minorHAnsi" w:hAnsiTheme="minorHAnsi"/>
        </w:rPr>
        <w:t>e zaměstnance</w:t>
      </w:r>
      <w:r w:rsidR="001A6B93">
        <w:rPr>
          <w:rFonts w:asciiTheme="minorHAnsi" w:hAnsiTheme="minorHAnsi"/>
        </w:rPr>
        <w:t>m</w:t>
      </w:r>
      <w:r w:rsidRPr="0029523E">
        <w:rPr>
          <w:rFonts w:asciiTheme="minorHAnsi" w:hAnsiTheme="minorHAnsi"/>
        </w:rPr>
        <w:t xml:space="preserve">. </w:t>
      </w:r>
    </w:p>
    <w:p w:rsidR="00BE1954" w:rsidRPr="0029523E" w:rsidRDefault="00CA3B48">
      <w:pPr>
        <w:numPr>
          <w:ilvl w:val="0"/>
          <w:numId w:val="1"/>
        </w:numPr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Zaměstnanecké oddělení odpovídá za archivaci pracovněprávních smluv v souladu s předpisy vydanými v oblasti pracovního práva, spisové služby a archivnictví; zejména odpovídá za úplnost a aktuálnost osobních spisů.</w:t>
      </w:r>
    </w:p>
    <w:p w:rsidR="00BE1954" w:rsidRPr="0029523E" w:rsidRDefault="00BE1954">
      <w:pPr>
        <w:spacing w:after="0"/>
        <w:ind w:left="426"/>
        <w:jc w:val="center"/>
        <w:rPr>
          <w:rFonts w:asciiTheme="minorHAnsi" w:hAnsiTheme="minorHAnsi"/>
        </w:rPr>
      </w:pP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Čl. III</w:t>
      </w: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Grantové smlouvy</w:t>
      </w:r>
    </w:p>
    <w:p w:rsidR="00BE1954" w:rsidRPr="0029523E" w:rsidRDefault="00CA3B48">
      <w:pPr>
        <w:numPr>
          <w:ilvl w:val="0"/>
          <w:numId w:val="3"/>
        </w:numPr>
        <w:spacing w:after="0"/>
        <w:ind w:left="426" w:hanging="360"/>
        <w:contextualSpacing/>
        <w:rPr>
          <w:rFonts w:asciiTheme="minorHAnsi" w:hAnsiTheme="minorHAnsi"/>
          <w:color w:val="auto"/>
        </w:rPr>
      </w:pPr>
      <w:r w:rsidRPr="0029523E">
        <w:rPr>
          <w:rFonts w:asciiTheme="minorHAnsi" w:hAnsiTheme="minorHAnsi"/>
          <w:color w:val="auto"/>
        </w:rPr>
        <w:t xml:space="preserve">Grantovou a projektovou smlouvu, smlouvu o poskytnutí dotace či obdobných prostředků a smlouvu o spolupráci při plnění grantu či dotovaného projektu (dále jen grantová smlouva) připravuje zpravidla poskytovatel. </w:t>
      </w:r>
      <w:r w:rsidRPr="0029523E">
        <w:rPr>
          <w:rFonts w:asciiTheme="minorHAnsi" w:eastAsia="Arial" w:hAnsiTheme="minorHAnsi" w:cs="Arial"/>
          <w:color w:val="auto"/>
          <w:highlight w:val="white"/>
        </w:rPr>
        <w:t xml:space="preserve"> Oddělení podpory vědy kontroluje soulad smlouvy s projektovou žádostí a posuzuje splnitelnost dotačních podmínek; v případě potřeby spolupracuje s hlavním řešitelem či fakultním právníkem. Hlavní řešitel je povinen o přípravě grantové smlouvy informovat svého nadřízeného</w:t>
      </w:r>
      <w:r w:rsidRPr="0029523E">
        <w:rPr>
          <w:rFonts w:asciiTheme="minorHAnsi" w:hAnsiTheme="minorHAnsi"/>
          <w:color w:val="auto"/>
        </w:rPr>
        <w:t>.</w:t>
      </w:r>
    </w:p>
    <w:p w:rsidR="00BE1954" w:rsidRPr="0029523E" w:rsidRDefault="00CA3B48">
      <w:pPr>
        <w:numPr>
          <w:ilvl w:val="0"/>
          <w:numId w:val="3"/>
        </w:numPr>
        <w:spacing w:after="0"/>
        <w:ind w:left="426" w:hanging="360"/>
        <w:contextualSpacing/>
        <w:rPr>
          <w:rFonts w:asciiTheme="minorHAnsi" w:hAnsiTheme="minorHAnsi"/>
          <w:color w:val="auto"/>
        </w:rPr>
      </w:pPr>
      <w:r w:rsidRPr="0029523E">
        <w:rPr>
          <w:rFonts w:asciiTheme="minorHAnsi" w:hAnsiTheme="minorHAnsi"/>
          <w:color w:val="auto"/>
        </w:rPr>
        <w:t>Grantovou smlouvu po kontrole formální správnosti předkládá oddělení podpory vědy k podpisu děkana.</w:t>
      </w:r>
    </w:p>
    <w:p w:rsidR="00BE1954" w:rsidRPr="0029523E" w:rsidRDefault="00CA3B48">
      <w:pPr>
        <w:numPr>
          <w:ilvl w:val="0"/>
          <w:numId w:val="3"/>
        </w:numPr>
        <w:spacing w:after="0"/>
        <w:ind w:left="426" w:hanging="360"/>
        <w:contextualSpacing/>
        <w:rPr>
          <w:rFonts w:asciiTheme="minorHAnsi" w:hAnsiTheme="minorHAnsi"/>
          <w:color w:val="auto"/>
        </w:rPr>
      </w:pPr>
      <w:r w:rsidRPr="0029523E">
        <w:rPr>
          <w:rFonts w:asciiTheme="minorHAnsi" w:eastAsia="Arial" w:hAnsiTheme="minorHAnsi" w:cs="Arial"/>
          <w:color w:val="auto"/>
          <w:highlight w:val="white"/>
        </w:rPr>
        <w:t xml:space="preserve">Oddělení podpory vědy zajišťuje podpis grantové smlouvy druhou stranou, v případě uzavření grantové </w:t>
      </w:r>
      <w:r w:rsidRPr="0029523E">
        <w:rPr>
          <w:rFonts w:asciiTheme="minorHAnsi" w:hAnsiTheme="minorHAnsi"/>
          <w:color w:val="auto"/>
        </w:rPr>
        <w:t>smlouvy</w:t>
      </w:r>
      <w:r w:rsidRPr="0029523E">
        <w:rPr>
          <w:rFonts w:asciiTheme="minorHAnsi" w:eastAsia="Arial" w:hAnsiTheme="minorHAnsi" w:cs="Arial"/>
          <w:color w:val="auto"/>
          <w:highlight w:val="white"/>
        </w:rPr>
        <w:t xml:space="preserve"> zajišťuje její zveřejnění v systému </w:t>
      </w:r>
      <w:proofErr w:type="spellStart"/>
      <w:r w:rsidRPr="0029523E">
        <w:rPr>
          <w:rFonts w:asciiTheme="minorHAnsi" w:eastAsia="Arial" w:hAnsiTheme="minorHAnsi" w:cs="Arial"/>
          <w:color w:val="auto"/>
          <w:highlight w:val="white"/>
        </w:rPr>
        <w:t>GaP</w:t>
      </w:r>
      <w:proofErr w:type="spellEnd"/>
      <w:r w:rsidRPr="0029523E">
        <w:rPr>
          <w:rFonts w:asciiTheme="minorHAnsi" w:eastAsia="Arial" w:hAnsiTheme="minorHAnsi" w:cs="Arial"/>
          <w:color w:val="auto"/>
          <w:highlight w:val="white"/>
        </w:rPr>
        <w:t>.</w:t>
      </w:r>
    </w:p>
    <w:p w:rsidR="00BE1954" w:rsidRPr="0029523E" w:rsidRDefault="00CA3B48">
      <w:pPr>
        <w:numPr>
          <w:ilvl w:val="0"/>
          <w:numId w:val="3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  <w:color w:val="auto"/>
        </w:rPr>
        <w:t xml:space="preserve">Oddělení podpory vědy vede elektronickou evidenci </w:t>
      </w:r>
      <w:r w:rsidRPr="0029523E">
        <w:rPr>
          <w:rFonts w:asciiTheme="minorHAnsi" w:hAnsiTheme="minorHAnsi"/>
        </w:rPr>
        <w:t xml:space="preserve">grantových smluv prostřednictvím celouniverzitní aplikace </w:t>
      </w:r>
      <w:proofErr w:type="spellStart"/>
      <w:r w:rsidRPr="0029523E">
        <w:rPr>
          <w:rFonts w:asciiTheme="minorHAnsi" w:hAnsiTheme="minorHAnsi"/>
        </w:rPr>
        <w:t>GaP</w:t>
      </w:r>
      <w:proofErr w:type="spellEnd"/>
      <w:r w:rsidRPr="0029523E">
        <w:rPr>
          <w:rFonts w:asciiTheme="minorHAnsi" w:hAnsiTheme="minorHAnsi"/>
        </w:rPr>
        <w:t xml:space="preserve"> a odpovídá za řádné nastavení přístupových práv do této aplikace příslušným zaměstnancům fakulty a za úplnost a aktuálnost evidence.</w:t>
      </w:r>
    </w:p>
    <w:p w:rsidR="00BE1954" w:rsidRPr="0029523E" w:rsidRDefault="00CA3B48">
      <w:pPr>
        <w:numPr>
          <w:ilvl w:val="0"/>
          <w:numId w:val="3"/>
        </w:numPr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Oddělení podpory vědy vede v listinné podobě archiv grantových smluv v souladu s předpisy vydanými v oblasti spisové služby a archivnictví; zejména odpovídá za úplnost a aktuálnost archivu.</w:t>
      </w:r>
    </w:p>
    <w:p w:rsidR="00BE1954" w:rsidRPr="0029523E" w:rsidRDefault="00BE1954">
      <w:pPr>
        <w:ind w:left="426"/>
        <w:rPr>
          <w:rFonts w:asciiTheme="minorHAnsi" w:hAnsiTheme="minorHAnsi"/>
        </w:rPr>
      </w:pP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Čl. IV</w:t>
      </w: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Provozní smlouvy</w:t>
      </w: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Provozní smlouvu připravuje řešitel, který plnění z provozní smlouvy potřebuje pro zajištění svých úkolů. Řešitel odpovídá za věcnou a odbornou stránku provozní smlouvy. </w:t>
      </w: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Na výzvu řešitele poskytne fakultní právník nezbytnou součinnost k vytvoření návrhu smlouvy. Nezbytnou součinnost na výzvu poskytne i další oddělení děkanátu, je-li součinnost vhodná pro vytvoření řádné smlouvy. </w:t>
      </w: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Pokud ve smlouvě není určena kontaktní osoba, je řešitel oprávněn předávat a přebírat plnění od protistrany a písemně vydávat potvrzení o plnění smlouvy, s výjimkou přebírání finančního plnění a s výjimkou vydávání potvrzení o splnění finančního plnění. V případě nepřítomnosti kontaktní osoby nebo řešitele, zastupuje řešitele a kontaktní osobu příslušný příkazce operací. </w:t>
      </w: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Provozní smlouvy před jejich uzavřením: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kontroluje a schvaluje řešitel z hlediska věcného a odborného,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kontroluje a schvaluje ekonomické oddělení z hlediska </w:t>
      </w:r>
    </w:p>
    <w:p w:rsidR="00BE1954" w:rsidRPr="0029523E" w:rsidRDefault="00CA3B48">
      <w:pPr>
        <w:numPr>
          <w:ilvl w:val="5"/>
          <w:numId w:val="5"/>
        </w:numPr>
        <w:spacing w:after="0"/>
        <w:ind w:left="1843"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souladu kalkulačního listu se smlouvou,</w:t>
      </w:r>
    </w:p>
    <w:p w:rsidR="00BE1954" w:rsidRPr="0029523E" w:rsidRDefault="00CA3B48">
      <w:pPr>
        <w:numPr>
          <w:ilvl w:val="5"/>
          <w:numId w:val="5"/>
        </w:numPr>
        <w:spacing w:after="0"/>
        <w:ind w:left="1843"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způsobu stanovení ceny, DPH a platebních podmínek,</w:t>
      </w:r>
    </w:p>
    <w:p w:rsidR="00BE1954" w:rsidRPr="0029523E" w:rsidRDefault="00CA3B48">
      <w:pPr>
        <w:numPr>
          <w:ilvl w:val="5"/>
          <w:numId w:val="5"/>
        </w:numPr>
        <w:spacing w:after="0"/>
        <w:ind w:left="1843" w:hanging="1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lastRenderedPageBreak/>
        <w:t>dodržení pravidel pro veřejnou podporu,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kontroluje a schvaluje pracoviště veřejných zakázek v případě smluv na plnění veřejné zakázky, a to z hlediska souladu smlouvy s vybranou nejvhodnější nabídkou a se zadávacími podmínkami,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kontroluje a schvaluje právník z hlediska souladu smlouvy s právními předpisy,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kontroluje a schvaluje nadřízený řešitele z titulu své řídící funkce,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kontroluje a schvaluje příkazce operace z hlediska dodržení povinnosti stanovené </w:t>
      </w:r>
      <w:proofErr w:type="spellStart"/>
      <w:r w:rsidRPr="0029523E">
        <w:rPr>
          <w:rFonts w:asciiTheme="minorHAnsi" w:hAnsiTheme="minorHAnsi"/>
        </w:rPr>
        <w:t>vyhl</w:t>
      </w:r>
      <w:proofErr w:type="spellEnd"/>
      <w:r w:rsidRPr="0029523E">
        <w:rPr>
          <w:rFonts w:asciiTheme="minorHAnsi" w:hAnsiTheme="minorHAnsi"/>
        </w:rPr>
        <w:t>. č. 416/2004 Sb., kterou se provádí zákon o finanční kontrole,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kontroluje a schvaluje správce rozpočtu z hlediska dodržení povinnosti stanovené </w:t>
      </w:r>
      <w:proofErr w:type="spellStart"/>
      <w:r w:rsidRPr="0029523E">
        <w:rPr>
          <w:rFonts w:asciiTheme="minorHAnsi" w:hAnsiTheme="minorHAnsi"/>
        </w:rPr>
        <w:t>vyhl</w:t>
      </w:r>
      <w:proofErr w:type="spellEnd"/>
      <w:r w:rsidRPr="0029523E">
        <w:rPr>
          <w:rFonts w:asciiTheme="minorHAnsi" w:hAnsiTheme="minorHAnsi"/>
        </w:rPr>
        <w:t xml:space="preserve">. č. 416/2004 Sb., kterou se provádí zákon o finanční kontrole, a to u smlouvy, z které plyne pro fakultu povinnost výdaje, 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kontroluje a schvaluje příslušný sekční proděkan nebo tajemník z titulu výkonu své funkce v případě finančního plnění nad 100 000 Kč bez DPH,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kontroluje a schvaluje tajemník z titulu výkonu své funkce v případě doplňkové činnosti a smluvního výzkumu,</w:t>
      </w:r>
    </w:p>
    <w:p w:rsidR="00BE1954" w:rsidRPr="0029523E" w:rsidRDefault="00CA3B48">
      <w:pPr>
        <w:numPr>
          <w:ilvl w:val="4"/>
          <w:numId w:val="5"/>
        </w:numPr>
        <w:spacing w:after="0"/>
        <w:ind w:left="993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kontroluje sekretariát děkana a tajemníka (dále jen SDT), a to z hlediska  souladu návrhu smlouvy předkládaného k podpisu děkanovi s verzí návrhu smlouvy schváleného všemi schvalovateli. </w:t>
      </w:r>
    </w:p>
    <w:p w:rsidR="00BE1954" w:rsidRPr="0029523E" w:rsidRDefault="00BE1954">
      <w:pPr>
        <w:spacing w:after="0"/>
        <w:rPr>
          <w:rFonts w:asciiTheme="minorHAnsi" w:hAnsiTheme="minorHAnsi"/>
        </w:rPr>
      </w:pP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Provozní smlouvy fakulta podepisuje zpravidla po podpisu protistranou či protistranami. SDT zajistí podpis schváleného návrhu smlouvy protistranou i děkanem.</w:t>
      </w:r>
      <w:r w:rsidRPr="0029523E">
        <w:rPr>
          <w:rFonts w:asciiTheme="minorHAnsi" w:hAnsiTheme="minorHAnsi"/>
          <w:b/>
        </w:rPr>
        <w:t xml:space="preserve"> </w:t>
      </w:r>
      <w:r w:rsidRPr="0029523E">
        <w:rPr>
          <w:rFonts w:asciiTheme="minorHAnsi" w:hAnsiTheme="minorHAnsi"/>
        </w:rPr>
        <w:t xml:space="preserve">SDT zajistí, aby řešitel a ekonomické oddělení byli neprodleně informování o podpisu smlouvy všemi smluvními stranami. SDT převede uzavřenou smlouvu do elektronické podoby a připojí jí v elektronickém registru smluv k příslušnému záznamu. SDT si ponechá k archivaci v listinné formě jedno vyhotovení smlouvy, zajistí bezodkladné doručení příslušného počtu vyhotovení uzavřené smlouvy smluvnímu partnerovi, pokud smlouvu již nemá, a případná další vyhotovení smlouvy předá řešiteli. </w:t>
      </w: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Pokud děkan návrh smlouvy odmítne podepsat nebo bude mít k návrhu smlouvy připomínky, bude SDT situaci řešit s právníkem a řešitelem a současně informuje o této situaci ekonomické oddělení.</w:t>
      </w: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SDT vede elektronický registr smluv a odpovídá za jeho úplnost a aktuálnost. SDT v součinnosti s Centrem informačních technologií odpovídá za řádné nastavení přístupových práv do registru. V registru smluv je smlouva vedena včetně všech příloh, průvodky ke smlouvě, kalkulačního listu a dalších listin, které SDT obdrží od schvalovatelů.</w:t>
      </w:r>
    </w:p>
    <w:p w:rsidR="00BE1954" w:rsidRPr="0029523E" w:rsidRDefault="00CA3B48">
      <w:pPr>
        <w:numPr>
          <w:ilvl w:val="3"/>
          <w:numId w:val="5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SDT vede archiv provozních smluv v listinné podobě v souladu s předpisy vydanými v oblasti spisové služby a archivnictví; zejména odpovídá za úplnost a aktuálnost archivu.</w:t>
      </w:r>
    </w:p>
    <w:p w:rsidR="00BE1954" w:rsidRPr="0029523E" w:rsidRDefault="00CA3B48" w:rsidP="007E4BB4">
      <w:pPr>
        <w:numPr>
          <w:ilvl w:val="3"/>
          <w:numId w:val="5"/>
        </w:numPr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Vzhledem k různorodosti provozních smluv jsou v příloze uvedena podrobnější pravidla pro oběh a uzavírání provozních smluv. </w:t>
      </w:r>
    </w:p>
    <w:p w:rsidR="0065669E" w:rsidRPr="0029523E" w:rsidRDefault="0065669E">
      <w:pPr>
        <w:spacing w:after="0"/>
        <w:ind w:left="426"/>
        <w:jc w:val="center"/>
        <w:rPr>
          <w:rFonts w:asciiTheme="minorHAnsi" w:eastAsia="Times New Roman" w:hAnsiTheme="minorHAnsi" w:cs="Times New Roman"/>
          <w:b/>
        </w:rPr>
      </w:pP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Čl. V</w:t>
      </w: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Zveřejňování smluv</w:t>
      </w:r>
    </w:p>
    <w:p w:rsidR="00BE1954" w:rsidRPr="0029523E" w:rsidRDefault="00CA3B48">
      <w:pPr>
        <w:numPr>
          <w:ilvl w:val="0"/>
          <w:numId w:val="2"/>
        </w:numPr>
        <w:spacing w:after="0"/>
        <w:ind w:left="420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Smlouvy s hodnotou jejího předmětu vyšší než 50 000 Kč bez DPH je fakulta povinna podle zákona č. 340/2015 Sb., zákon o registru smluv,  zveřejnit v národním registru smluv do 30 dnů od jejího uzavření, pokud tak neučiní druhá smluvní strana.</w:t>
      </w:r>
    </w:p>
    <w:p w:rsidR="00BE1954" w:rsidRPr="0029523E" w:rsidRDefault="00CA3B48">
      <w:pPr>
        <w:numPr>
          <w:ilvl w:val="0"/>
          <w:numId w:val="2"/>
        </w:numPr>
        <w:spacing w:after="0"/>
        <w:ind w:left="420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Zveřejňování grantových smluv v národním registru smluv zajišťuje oddělení podpory vědy v </w:t>
      </w:r>
      <w:proofErr w:type="gramStart"/>
      <w:r w:rsidRPr="0029523E">
        <w:rPr>
          <w:rFonts w:asciiTheme="minorHAnsi" w:hAnsiTheme="minorHAnsi"/>
        </w:rPr>
        <w:t>součinnosti s SDT</w:t>
      </w:r>
      <w:proofErr w:type="gramEnd"/>
      <w:r w:rsidRPr="0029523E">
        <w:rPr>
          <w:rFonts w:asciiTheme="minorHAnsi" w:hAnsiTheme="minorHAnsi"/>
        </w:rPr>
        <w:t xml:space="preserve">, pokud se ke zveřejnění smluvně nezavázal poskytovatel finančních prostředků a pokud se na smlouvy nevztahuje výjimka podle zákona č. 340/2015 Sb. </w:t>
      </w:r>
    </w:p>
    <w:p w:rsidR="00BE1954" w:rsidRPr="0029523E" w:rsidRDefault="00CA3B48">
      <w:pPr>
        <w:numPr>
          <w:ilvl w:val="0"/>
          <w:numId w:val="2"/>
        </w:numPr>
        <w:spacing w:after="0"/>
        <w:ind w:left="420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Zveřejňování provozních smluv v národním registru smluv zajišťuje SDT. Pokud provozní smlouva podléhající zveřejnění bude podepsána za fakultu před podpisem protistranou, je řešitel, případně jím </w:t>
      </w:r>
      <w:r w:rsidRPr="0029523E">
        <w:rPr>
          <w:rFonts w:asciiTheme="minorHAnsi" w:hAnsiTheme="minorHAnsi"/>
        </w:rPr>
        <w:lastRenderedPageBreak/>
        <w:t>pověřená osoba, zpravidla hospodářský tajemník pracoviště, povinen poskytnout SDT veškerou nezbytnou součinnost, aby protistrana neprodleně po podpisu smlouvy doručila příslušný počet vyhotovení smlouvy fakultě a aby byla provozní smlouva včas a řádně zveřejněna, ať fakultou či protistranou.</w:t>
      </w:r>
    </w:p>
    <w:p w:rsidR="00BE1954" w:rsidRPr="0029523E" w:rsidRDefault="00CA3B48">
      <w:pPr>
        <w:numPr>
          <w:ilvl w:val="0"/>
          <w:numId w:val="2"/>
        </w:numPr>
        <w:spacing w:after="0"/>
        <w:ind w:left="420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SDT ve spolupráci s právníkem rovněž posuzuje, zda se na konkrétní smlouvu či údaje nevztahuje výjimka ze zveřejnění a zda má být smlouva zveřejněna jako celek nebo některé údaje nemají být zveřejněny.</w:t>
      </w:r>
    </w:p>
    <w:p w:rsidR="00BE1954" w:rsidRPr="0029523E" w:rsidRDefault="00BE1954">
      <w:pPr>
        <w:spacing w:after="0"/>
        <w:rPr>
          <w:rFonts w:asciiTheme="minorHAnsi" w:hAnsiTheme="minorHAnsi"/>
        </w:rPr>
      </w:pP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Čl. VI</w:t>
      </w: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Společná ustanovení</w:t>
      </w:r>
    </w:p>
    <w:p w:rsidR="00BE1954" w:rsidRPr="0029523E" w:rsidRDefault="00CA3B48">
      <w:pPr>
        <w:numPr>
          <w:ilvl w:val="3"/>
          <w:numId w:val="7"/>
        </w:numPr>
        <w:spacing w:after="0"/>
        <w:ind w:left="426" w:hanging="4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Smlouvy se zásadně uzavírají před započetím jakéhokoli úkonu nebo plnění, které z nich vyplývají.</w:t>
      </w:r>
    </w:p>
    <w:p w:rsidR="00BE1954" w:rsidRPr="0029523E" w:rsidRDefault="00CA3B48">
      <w:pPr>
        <w:numPr>
          <w:ilvl w:val="3"/>
          <w:numId w:val="7"/>
        </w:numPr>
        <w:spacing w:after="0"/>
        <w:ind w:left="426" w:hanging="4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Pracoviště uvedená v čl. II odst. 1, čl. III odst. 3 a v čl. IV odst. 5 zajistí, aby každé vyhotovení smlouvy tvořilo jedinou listinu zabezpečenou před změnou, a to pevným spojením listin a jejich přelepením nálepkou a orazítkováním na přelepu úředním razítkem.</w:t>
      </w:r>
    </w:p>
    <w:p w:rsidR="00BE1954" w:rsidRPr="0029523E" w:rsidRDefault="00BE1954">
      <w:pPr>
        <w:ind w:left="426"/>
        <w:rPr>
          <w:rFonts w:asciiTheme="minorHAnsi" w:hAnsiTheme="minorHAnsi"/>
        </w:rPr>
      </w:pP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>Čl. VII</w:t>
      </w:r>
    </w:p>
    <w:p w:rsidR="00BE1954" w:rsidRPr="0029523E" w:rsidRDefault="00CA3B48">
      <w:pPr>
        <w:spacing w:after="0"/>
        <w:ind w:left="426"/>
        <w:jc w:val="center"/>
        <w:rPr>
          <w:rFonts w:asciiTheme="minorHAnsi" w:hAnsiTheme="minorHAnsi"/>
        </w:rPr>
      </w:pPr>
      <w:r w:rsidRPr="0029523E">
        <w:rPr>
          <w:rFonts w:asciiTheme="minorHAnsi" w:eastAsia="Times New Roman" w:hAnsiTheme="minorHAnsi" w:cs="Times New Roman"/>
          <w:b/>
        </w:rPr>
        <w:t xml:space="preserve">Závěrečná ustanovení </w:t>
      </w:r>
    </w:p>
    <w:p w:rsidR="00BE1954" w:rsidRPr="0029523E" w:rsidRDefault="00CA3B48">
      <w:pPr>
        <w:numPr>
          <w:ilvl w:val="0"/>
          <w:numId w:val="6"/>
        </w:numPr>
        <w:spacing w:after="0"/>
        <w:ind w:left="426" w:hanging="4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Osobou odpovědnou za provádění a kontrolu dodržování tohoto opatření stanovuji tajemníka. </w:t>
      </w:r>
    </w:p>
    <w:p w:rsidR="00BE1954" w:rsidRPr="0029523E" w:rsidRDefault="00CA3B48">
      <w:pPr>
        <w:numPr>
          <w:ilvl w:val="0"/>
          <w:numId w:val="6"/>
        </w:numPr>
        <w:spacing w:after="0"/>
        <w:ind w:left="426" w:hanging="4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Toto opatření ruší opatření děkana č. 4/2012 a plně ho nahrazuje.</w:t>
      </w:r>
    </w:p>
    <w:p w:rsidR="00BE1954" w:rsidRPr="0029523E" w:rsidRDefault="00CA3B48">
      <w:pPr>
        <w:numPr>
          <w:ilvl w:val="0"/>
          <w:numId w:val="6"/>
        </w:numPr>
        <w:spacing w:after="0"/>
        <w:ind w:left="426" w:hanging="4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Toto opatření je pověřením k podpisu smluv za fakultu, jak uvedeno v čl. I odst. 3 </w:t>
      </w:r>
      <w:proofErr w:type="gramStart"/>
      <w:r w:rsidRPr="0029523E">
        <w:rPr>
          <w:rFonts w:asciiTheme="minorHAnsi" w:hAnsiTheme="minorHAnsi"/>
        </w:rPr>
        <w:t>písm. b. a c.</w:t>
      </w:r>
      <w:proofErr w:type="gramEnd"/>
    </w:p>
    <w:p w:rsidR="00BE1954" w:rsidRPr="0029523E" w:rsidRDefault="00CA3B48">
      <w:pPr>
        <w:numPr>
          <w:ilvl w:val="0"/>
          <w:numId w:val="6"/>
        </w:numPr>
        <w:ind w:left="426" w:hanging="48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Toto opatření nabývá účinnosti dnem </w:t>
      </w:r>
      <w:proofErr w:type="gramStart"/>
      <w:r w:rsidRPr="0029523E">
        <w:rPr>
          <w:rFonts w:asciiTheme="minorHAnsi" w:hAnsiTheme="minorHAnsi"/>
        </w:rPr>
        <w:t>1.10.2016</w:t>
      </w:r>
      <w:proofErr w:type="gramEnd"/>
      <w:r w:rsidRPr="0029523E">
        <w:rPr>
          <w:rFonts w:asciiTheme="minorHAnsi" w:hAnsiTheme="minorHAnsi"/>
        </w:rPr>
        <w:t>.</w:t>
      </w: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  <w:bookmarkStart w:id="1" w:name="_gjdgxs" w:colFirst="0" w:colLast="0"/>
      <w:bookmarkEnd w:id="1"/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65669E" w:rsidP="0065669E">
      <w:pPr>
        <w:spacing w:after="0" w:line="240" w:lineRule="auto"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V Praze dne </w:t>
      </w:r>
      <w:proofErr w:type="gramStart"/>
      <w:r w:rsidRPr="0029523E">
        <w:rPr>
          <w:rFonts w:asciiTheme="minorHAnsi" w:hAnsiTheme="minorHAnsi"/>
        </w:rPr>
        <w:t>29.9.2016</w:t>
      </w:r>
      <w:proofErr w:type="gramEnd"/>
      <w:r w:rsidRPr="0029523E">
        <w:rPr>
          <w:rFonts w:asciiTheme="minorHAnsi" w:hAnsiTheme="minorHAnsi"/>
        </w:rPr>
        <w:t xml:space="preserve"> </w:t>
      </w:r>
    </w:p>
    <w:p w:rsidR="0065669E" w:rsidRPr="0029523E" w:rsidRDefault="0065669E" w:rsidP="0065669E">
      <w:pPr>
        <w:spacing w:after="0" w:line="240" w:lineRule="auto"/>
        <w:rPr>
          <w:rFonts w:asciiTheme="minorHAnsi" w:hAnsiTheme="minorHAnsi"/>
        </w:rPr>
      </w:pPr>
      <w:r w:rsidRPr="0029523E">
        <w:rPr>
          <w:rFonts w:asciiTheme="minorHAnsi" w:hAnsiTheme="minorHAnsi"/>
        </w:rPr>
        <w:tab/>
      </w:r>
      <w:r w:rsidRPr="0029523E">
        <w:rPr>
          <w:rFonts w:asciiTheme="minorHAnsi" w:hAnsiTheme="minorHAnsi"/>
        </w:rPr>
        <w:tab/>
      </w:r>
      <w:r w:rsidRPr="0029523E">
        <w:rPr>
          <w:rFonts w:asciiTheme="minorHAnsi" w:hAnsiTheme="minorHAnsi"/>
        </w:rPr>
        <w:tab/>
      </w:r>
      <w:r w:rsidRPr="0029523E">
        <w:rPr>
          <w:rFonts w:asciiTheme="minorHAnsi" w:hAnsiTheme="minorHAnsi"/>
        </w:rPr>
        <w:tab/>
        <w:t xml:space="preserve">      </w:t>
      </w:r>
    </w:p>
    <w:p w:rsidR="0065669E" w:rsidRDefault="0065669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1A6B93" w:rsidP="0065669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prof. RNDr. Bohuslav </w:t>
      </w:r>
      <w:proofErr w:type="spellStart"/>
      <w:r>
        <w:rPr>
          <w:rFonts w:asciiTheme="minorHAnsi" w:hAnsiTheme="minorHAnsi"/>
        </w:rPr>
        <w:t>Gaš</w:t>
      </w:r>
      <w:proofErr w:type="spellEnd"/>
      <w:r>
        <w:rPr>
          <w:rFonts w:asciiTheme="minorHAnsi" w:hAnsiTheme="minorHAnsi"/>
        </w:rPr>
        <w:t>, CSc.</w:t>
      </w:r>
    </w:p>
    <w:p w:rsidR="001A6B93" w:rsidRDefault="001A6B93" w:rsidP="0065669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děkan fakulty</w:t>
      </w:r>
    </w:p>
    <w:p w:rsidR="001A6B93" w:rsidRDefault="001A6B93" w:rsidP="0065669E">
      <w:pPr>
        <w:spacing w:after="0" w:line="240" w:lineRule="auto"/>
        <w:rPr>
          <w:rFonts w:asciiTheme="minorHAnsi" w:hAnsiTheme="minorHAnsi"/>
        </w:rPr>
      </w:pPr>
    </w:p>
    <w:p w:rsidR="0029523E" w:rsidRP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65669E" w:rsidP="0029523E">
      <w:pPr>
        <w:spacing w:after="0" w:line="240" w:lineRule="auto"/>
        <w:ind w:left="3600" w:firstLine="720"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 </w:t>
      </w:r>
      <w:r w:rsidRPr="0029523E">
        <w:rPr>
          <w:rFonts w:asciiTheme="minorHAnsi" w:hAnsiTheme="minorHAnsi"/>
        </w:rPr>
        <w:tab/>
      </w:r>
    </w:p>
    <w:p w:rsidR="0029523E" w:rsidRDefault="0029523E" w:rsidP="0029523E">
      <w:pPr>
        <w:spacing w:after="0" w:line="240" w:lineRule="auto"/>
        <w:ind w:left="50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doc</w:t>
      </w:r>
      <w:r w:rsidR="00CA3B48" w:rsidRPr="0029523E">
        <w:rPr>
          <w:rFonts w:asciiTheme="minorHAnsi" w:hAnsiTheme="minorHAnsi"/>
        </w:rPr>
        <w:t xml:space="preserve">. RNDr. </w:t>
      </w:r>
      <w:r>
        <w:rPr>
          <w:rFonts w:asciiTheme="minorHAnsi" w:hAnsiTheme="minorHAnsi"/>
        </w:rPr>
        <w:t>Petr Folk</w:t>
      </w:r>
      <w:r w:rsidR="00CA3B48" w:rsidRPr="0029523E">
        <w:rPr>
          <w:rFonts w:asciiTheme="minorHAnsi" w:hAnsiTheme="minorHAnsi"/>
        </w:rPr>
        <w:t>, CSc.</w:t>
      </w:r>
      <w:r w:rsidR="0065669E" w:rsidRPr="0029523E">
        <w:rPr>
          <w:rFonts w:asciiTheme="minorHAnsi" w:hAnsiTheme="minorHAnsi"/>
        </w:rPr>
        <w:t xml:space="preserve">, </w:t>
      </w:r>
    </w:p>
    <w:p w:rsidR="0065669E" w:rsidRPr="0029523E" w:rsidRDefault="0029523E" w:rsidP="0029523E">
      <w:pPr>
        <w:tabs>
          <w:tab w:val="left" w:pos="510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proděkan pověřený zastupováním děkana</w:t>
      </w: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29523E" w:rsidRDefault="0029523E" w:rsidP="0065669E">
      <w:pPr>
        <w:spacing w:after="0" w:line="240" w:lineRule="auto"/>
        <w:rPr>
          <w:rFonts w:asciiTheme="minorHAnsi" w:hAnsiTheme="minorHAnsi"/>
        </w:rPr>
      </w:pPr>
    </w:p>
    <w:p w:rsidR="00BE1954" w:rsidRPr="0029523E" w:rsidRDefault="00CA3B48" w:rsidP="001A6B93">
      <w:pPr>
        <w:spacing w:after="0" w:line="240" w:lineRule="auto"/>
        <w:rPr>
          <w:rFonts w:asciiTheme="minorHAnsi" w:hAnsiTheme="minorHAnsi"/>
        </w:rPr>
      </w:pPr>
      <w:r w:rsidRPr="0029523E">
        <w:rPr>
          <w:rFonts w:asciiTheme="minorHAnsi" w:hAnsiTheme="minorHAnsi"/>
        </w:rPr>
        <w:t>Nedílnou souč</w:t>
      </w:r>
      <w:r w:rsidR="001A6B93">
        <w:rPr>
          <w:rFonts w:asciiTheme="minorHAnsi" w:hAnsiTheme="minorHAnsi"/>
        </w:rPr>
        <w:t xml:space="preserve">ástí tohoto opatření je příloha </w:t>
      </w:r>
      <w:r w:rsidRPr="0029523E">
        <w:rPr>
          <w:rFonts w:asciiTheme="minorHAnsi" w:hAnsiTheme="minorHAnsi"/>
        </w:rPr>
        <w:t xml:space="preserve">Proces schvalování provozních smluv </w:t>
      </w:r>
    </w:p>
    <w:p w:rsidR="0029523E" w:rsidRDefault="0029523E" w:rsidP="0065669E">
      <w:pPr>
        <w:spacing w:after="0"/>
        <w:rPr>
          <w:rFonts w:asciiTheme="minorHAnsi" w:hAnsiTheme="minorHAnsi" w:cs="Times New Roman"/>
        </w:rPr>
      </w:pPr>
    </w:p>
    <w:p w:rsidR="0029523E" w:rsidRDefault="0029523E" w:rsidP="0065669E">
      <w:pPr>
        <w:spacing w:after="0"/>
        <w:rPr>
          <w:rFonts w:asciiTheme="minorHAnsi" w:hAnsiTheme="minorHAnsi" w:cs="Times New Roman"/>
        </w:rPr>
      </w:pPr>
    </w:p>
    <w:p w:rsidR="0029523E" w:rsidRDefault="0029523E" w:rsidP="0065669E">
      <w:pPr>
        <w:spacing w:after="0"/>
        <w:rPr>
          <w:rFonts w:asciiTheme="minorHAnsi" w:hAnsiTheme="minorHAnsi" w:cs="Times New Roman"/>
        </w:rPr>
      </w:pPr>
    </w:p>
    <w:p w:rsidR="001A6B93" w:rsidRDefault="001A6B93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br w:type="page"/>
      </w:r>
    </w:p>
    <w:p w:rsidR="0065669E" w:rsidRPr="0029523E" w:rsidRDefault="00CA3B48" w:rsidP="0065669E">
      <w:pPr>
        <w:spacing w:after="0"/>
        <w:rPr>
          <w:rFonts w:asciiTheme="minorHAnsi" w:hAnsiTheme="minorHAnsi" w:cs="Times New Roman"/>
          <w:sz w:val="20"/>
          <w:szCs w:val="20"/>
        </w:rPr>
      </w:pPr>
      <w:r w:rsidRPr="0029523E">
        <w:rPr>
          <w:rFonts w:asciiTheme="minorHAnsi" w:hAnsiTheme="minorHAnsi" w:cs="Times New Roman"/>
          <w:sz w:val="20"/>
          <w:szCs w:val="20"/>
        </w:rPr>
        <w:lastRenderedPageBreak/>
        <w:t xml:space="preserve">Příloha </w:t>
      </w:r>
      <w:r w:rsidR="0065669E" w:rsidRPr="0029523E">
        <w:rPr>
          <w:rFonts w:asciiTheme="minorHAnsi" w:hAnsiTheme="minorHAnsi" w:cs="Times New Roman"/>
          <w:sz w:val="20"/>
          <w:szCs w:val="20"/>
        </w:rPr>
        <w:t xml:space="preserve">k opatření děkana č. 15/2016 </w:t>
      </w:r>
      <w:r w:rsidR="0065669E" w:rsidRPr="0029523E">
        <w:rPr>
          <w:rFonts w:asciiTheme="minorHAnsi" w:eastAsia="Times New Roman" w:hAnsiTheme="minorHAnsi" w:cs="Times New Roman"/>
          <w:sz w:val="20"/>
          <w:szCs w:val="20"/>
        </w:rPr>
        <w:t>k oběhu, uzavírání a archivaci smluv</w:t>
      </w:r>
    </w:p>
    <w:p w:rsidR="0029523E" w:rsidRDefault="00CA3B48">
      <w:pPr>
        <w:jc w:val="center"/>
        <w:rPr>
          <w:rFonts w:asciiTheme="minorHAnsi" w:hAnsiTheme="minorHAnsi"/>
          <w:b/>
        </w:rPr>
      </w:pPr>
      <w:r w:rsidRPr="0029523E">
        <w:rPr>
          <w:rFonts w:asciiTheme="minorHAnsi" w:hAnsiTheme="minorHAnsi"/>
          <w:b/>
        </w:rPr>
        <w:t xml:space="preserve"> </w:t>
      </w:r>
    </w:p>
    <w:p w:rsidR="00BE1954" w:rsidRPr="0029523E" w:rsidRDefault="00CA3B48">
      <w:pPr>
        <w:jc w:val="center"/>
        <w:rPr>
          <w:rFonts w:asciiTheme="minorHAnsi" w:hAnsiTheme="minorHAnsi"/>
        </w:rPr>
      </w:pPr>
      <w:r w:rsidRPr="0029523E">
        <w:rPr>
          <w:rFonts w:asciiTheme="minorHAnsi" w:hAnsiTheme="minorHAnsi"/>
          <w:b/>
        </w:rPr>
        <w:t>Proces schvalování provozních smluv</w:t>
      </w:r>
    </w:p>
    <w:p w:rsidR="0065669E" w:rsidRPr="0029523E" w:rsidRDefault="00CA3B48" w:rsidP="0065669E">
      <w:pPr>
        <w:rPr>
          <w:rFonts w:asciiTheme="minorHAnsi" w:hAnsiTheme="minorHAnsi"/>
        </w:rPr>
      </w:pPr>
      <w:r w:rsidRPr="0029523E">
        <w:rPr>
          <w:rFonts w:asciiTheme="minorHAnsi" w:hAnsiTheme="minorHAnsi"/>
        </w:rPr>
        <w:t>Pro schvalování provozních smluv byla vytvořena aplikace elektronický oběh smluv (dále jen EOS). Níže je uveden postup pro používání EOS.</w:t>
      </w:r>
    </w:p>
    <w:p w:rsidR="00BE1954" w:rsidRPr="0029523E" w:rsidRDefault="00CA3B48" w:rsidP="0065669E">
      <w:pPr>
        <w:spacing w:after="0" w:line="240" w:lineRule="auto"/>
        <w:rPr>
          <w:rFonts w:asciiTheme="minorHAnsi" w:eastAsia="Arial" w:hAnsiTheme="minorHAnsi" w:cs="Arial"/>
        </w:rPr>
      </w:pPr>
      <w:r w:rsidRPr="0029523E">
        <w:rPr>
          <w:rFonts w:asciiTheme="minorHAnsi" w:hAnsiTheme="minorHAnsi"/>
          <w:b/>
          <w:u w:val="single"/>
        </w:rPr>
        <w:t>A/ Vytvoření návrhu smlouvy a kalkulačního listu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EOS je založen na principu, že pokud některý ze schvalovatelů návrh smlouvy neodsouhlasí, vrací se schvalovací proces na začátek. Proto je doporučováno, aby řešitel předložil smlouvu nejprve prostřednictvím e-mailu právníkovi k připomínkám a do EOS byla smlouva vložena až po vypořádání připomínek právníka.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V případě doplňkové činnosti a smluvního výzkumu řešitel, případně jím pověřená osoba, zpravidla hospodářský tajemník pracoviště (dále jen předkladatel), písemně prostřednictvím e-mailu požádá ekonomické oddělení o zřízení zakázky. Ekonomické oddělení po obdržení požadavku:</w:t>
      </w:r>
    </w:p>
    <w:p w:rsidR="00BE1954" w:rsidRPr="0029523E" w:rsidRDefault="00CA3B48">
      <w:pPr>
        <w:spacing w:after="0"/>
        <w:ind w:left="1440" w:hanging="360"/>
        <w:rPr>
          <w:rFonts w:asciiTheme="minorHAnsi" w:eastAsia="Arial" w:hAnsiTheme="minorHAnsi" w:cs="Arial"/>
        </w:rPr>
      </w:pPr>
      <w:r w:rsidRPr="0029523E">
        <w:rPr>
          <w:rFonts w:asciiTheme="minorHAnsi" w:hAnsiTheme="minorHAnsi"/>
        </w:rPr>
        <w:t>a)      zřídí zakázku, ale neotevře ji pro účtování nákladů a příjmů,</w:t>
      </w:r>
    </w:p>
    <w:p w:rsidR="00BE1954" w:rsidRPr="0029523E" w:rsidRDefault="00CA3B48">
      <w:pPr>
        <w:spacing w:after="0"/>
        <w:ind w:left="1440" w:hanging="360"/>
        <w:rPr>
          <w:rFonts w:asciiTheme="minorHAnsi" w:eastAsia="Arial" w:hAnsiTheme="minorHAnsi" w:cs="Arial"/>
        </w:rPr>
      </w:pPr>
      <w:r w:rsidRPr="0029523E">
        <w:rPr>
          <w:rFonts w:asciiTheme="minorHAnsi" w:hAnsiTheme="minorHAnsi"/>
        </w:rPr>
        <w:t>b)      zajistí jmenování a zavedení do systému příslušného příkazce operací a správce rozpočtu k této zakázce,</w:t>
      </w:r>
    </w:p>
    <w:p w:rsidR="00BE1954" w:rsidRPr="0029523E" w:rsidRDefault="00CA3B48">
      <w:pPr>
        <w:spacing w:after="0"/>
        <w:ind w:left="1440" w:hanging="360"/>
        <w:rPr>
          <w:rFonts w:asciiTheme="minorHAnsi" w:eastAsia="Arial" w:hAnsiTheme="minorHAnsi" w:cs="Arial"/>
        </w:rPr>
      </w:pPr>
      <w:r w:rsidRPr="0029523E">
        <w:rPr>
          <w:rFonts w:asciiTheme="minorHAnsi" w:hAnsiTheme="minorHAnsi"/>
        </w:rPr>
        <w:t>c)       sdělí žadateli číslo zakázky.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Řešitel vypracuje kalkulační list, k čemuž mu na výzvu poskytne ekonomické oddělení součinnost.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Kalkulační list se vkládá do EOS společně se smlouvou a je také schvalován prostřednictvím EOS, nejsou tedy potřeba vlastnoruční podpisy příslušných schvalovatelů na kalkulačním listu.</w:t>
      </w:r>
      <w:r w:rsidRPr="0029523E">
        <w:rPr>
          <w:rFonts w:asciiTheme="minorHAnsi" w:hAnsiTheme="minorHAnsi"/>
          <w:vertAlign w:val="superscript"/>
        </w:rPr>
        <w:footnoteReference w:id="2"/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Zakázka ve FIS se pro účtování příjmů a výdajů otevře až po uzavření smlouvy, pro kterou byl kalkulační list vytvořen. O uzavření smlouvy je ekonomické oddělení informováno podle čl. IV odst. 5 tohoto opatření.</w:t>
      </w:r>
    </w:p>
    <w:p w:rsidR="00BE1954" w:rsidRPr="0029523E" w:rsidRDefault="00CA3B48">
      <w:pPr>
        <w:numPr>
          <w:ilvl w:val="0"/>
          <w:numId w:val="4"/>
        </w:numPr>
        <w:spacing w:after="0"/>
        <w:ind w:left="420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V případě zakázky, která byla předvídána v již schváleném kalkulačním listu  (např. roční zakázky v případě nájmu či jiné opakující se </w:t>
      </w:r>
      <w:proofErr w:type="gramStart"/>
      <w:r w:rsidRPr="0029523E">
        <w:rPr>
          <w:rFonts w:asciiTheme="minorHAnsi" w:hAnsiTheme="minorHAnsi"/>
        </w:rPr>
        <w:t>zakázky</w:t>
      </w:r>
      <w:proofErr w:type="gramEnd"/>
      <w:r w:rsidRPr="0029523E">
        <w:rPr>
          <w:rFonts w:asciiTheme="minorHAnsi" w:hAnsiTheme="minorHAnsi"/>
        </w:rPr>
        <w:t xml:space="preserve">), není třeba požadovat po ekonomickém oddělení nové číslo zakázky. Řešitel, případně předkladatel, vloží do EOS ke smlouvě </w:t>
      </w:r>
      <w:proofErr w:type="spellStart"/>
      <w:r w:rsidRPr="0029523E">
        <w:rPr>
          <w:rFonts w:asciiTheme="minorHAnsi" w:hAnsiTheme="minorHAnsi"/>
        </w:rPr>
        <w:t>sken</w:t>
      </w:r>
      <w:proofErr w:type="spellEnd"/>
      <w:r w:rsidRPr="0029523E">
        <w:rPr>
          <w:rFonts w:asciiTheme="minorHAnsi" w:hAnsiTheme="minorHAnsi"/>
        </w:rPr>
        <w:t xml:space="preserve"> kalkulačního listu, který přísluší otevřené zakázce. </w:t>
      </w:r>
    </w:p>
    <w:p w:rsidR="00BE1954" w:rsidRPr="0029523E" w:rsidRDefault="00BE1954">
      <w:pPr>
        <w:spacing w:after="0"/>
        <w:rPr>
          <w:rFonts w:asciiTheme="minorHAnsi" w:eastAsia="Arial" w:hAnsiTheme="minorHAnsi" w:cs="Arial"/>
        </w:rPr>
      </w:pPr>
    </w:p>
    <w:p w:rsidR="00BE1954" w:rsidRPr="0029523E" w:rsidRDefault="00CA3B48">
      <w:pPr>
        <w:spacing w:after="0"/>
        <w:rPr>
          <w:rFonts w:asciiTheme="minorHAnsi" w:eastAsia="Arial" w:hAnsiTheme="minorHAnsi" w:cs="Arial"/>
        </w:rPr>
      </w:pPr>
      <w:r w:rsidRPr="0029523E">
        <w:rPr>
          <w:rFonts w:asciiTheme="minorHAnsi" w:hAnsiTheme="minorHAnsi"/>
          <w:b/>
          <w:u w:val="single"/>
        </w:rPr>
        <w:t>B/ Schvalování návrhu smlouvy a kalkulačního listu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Do EOS vkládá návrh smlouvy předkladatel, který může být současně i řešitelem. 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Předkladatel je povinen vložit do EOS návrh provozní smlouvy včetně všech příloh a v případě doplňkové činnosti a smluvního výzkumu včetně kalkulačního listu.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Při vložení návrhu smlouvy předkladatel do aplikace EOS zapíše </w:t>
      </w:r>
      <w:proofErr w:type="spellStart"/>
      <w:r w:rsidRPr="0029523E">
        <w:rPr>
          <w:rFonts w:asciiTheme="minorHAnsi" w:hAnsiTheme="minorHAnsi"/>
        </w:rPr>
        <w:t>metadata</w:t>
      </w:r>
      <w:proofErr w:type="spellEnd"/>
      <w:r w:rsidRPr="0029523E">
        <w:rPr>
          <w:rFonts w:asciiTheme="minorHAnsi" w:hAnsiTheme="minorHAnsi"/>
        </w:rPr>
        <w:t xml:space="preserve"> o návrhu smlouvy, čímž určí způsob schvalování návrhu smlouvy. Do aplikace EOS jsou vkládána k jednotlivému návrhu smlouvy zejména tato </w:t>
      </w:r>
      <w:proofErr w:type="spellStart"/>
      <w:r w:rsidRPr="0029523E">
        <w:rPr>
          <w:rFonts w:asciiTheme="minorHAnsi" w:hAnsiTheme="minorHAnsi"/>
        </w:rPr>
        <w:t>metadata</w:t>
      </w:r>
      <w:proofErr w:type="spellEnd"/>
      <w:r w:rsidRPr="0029523E">
        <w:rPr>
          <w:rFonts w:asciiTheme="minorHAnsi" w:hAnsiTheme="minorHAnsi"/>
        </w:rPr>
        <w:t>:</w:t>
      </w:r>
    </w:p>
    <w:p w:rsidR="00BE1954" w:rsidRPr="0029523E" w:rsidRDefault="00CA3B48">
      <w:pPr>
        <w:numPr>
          <w:ilvl w:val="1"/>
          <w:numId w:val="4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název smlouvy,</w:t>
      </w:r>
    </w:p>
    <w:p w:rsidR="00BE1954" w:rsidRPr="0029523E" w:rsidRDefault="00CA3B48">
      <w:pPr>
        <w:numPr>
          <w:ilvl w:val="1"/>
          <w:numId w:val="4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důvod uzavření smlouvy,</w:t>
      </w:r>
    </w:p>
    <w:p w:rsidR="00BE1954" w:rsidRPr="0029523E" w:rsidRDefault="00CA3B48">
      <w:pPr>
        <w:numPr>
          <w:ilvl w:val="1"/>
          <w:numId w:val="4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finanční typ,</w:t>
      </w:r>
    </w:p>
    <w:p w:rsidR="00BE1954" w:rsidRPr="0029523E" w:rsidRDefault="00CA3B48">
      <w:pPr>
        <w:numPr>
          <w:ilvl w:val="1"/>
          <w:numId w:val="4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identifikační údaje řešitele,</w:t>
      </w:r>
    </w:p>
    <w:p w:rsidR="00BE1954" w:rsidRPr="0029523E" w:rsidRDefault="00CA3B48">
      <w:pPr>
        <w:numPr>
          <w:ilvl w:val="1"/>
          <w:numId w:val="4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identifikační údaje smluvní strany,</w:t>
      </w:r>
    </w:p>
    <w:p w:rsidR="00BE1954" w:rsidRPr="0029523E" w:rsidRDefault="00CA3B48">
      <w:pPr>
        <w:numPr>
          <w:ilvl w:val="1"/>
          <w:numId w:val="4"/>
        </w:numPr>
        <w:spacing w:after="0"/>
        <w:ind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přílohy, tj. návrh smlouvy;</w:t>
      </w:r>
    </w:p>
    <w:p w:rsidR="00BE1954" w:rsidRPr="0029523E" w:rsidRDefault="00CA3B48">
      <w:pPr>
        <w:spacing w:after="0"/>
        <w:ind w:firstLine="420"/>
        <w:rPr>
          <w:rFonts w:asciiTheme="minorHAnsi" w:hAnsiTheme="minorHAnsi"/>
        </w:rPr>
      </w:pPr>
      <w:r w:rsidRPr="0029523E">
        <w:rPr>
          <w:rFonts w:asciiTheme="minorHAnsi" w:hAnsiTheme="minorHAnsi"/>
        </w:rPr>
        <w:t>a v případě příjmové či výdajové smlouvy dále:</w:t>
      </w:r>
    </w:p>
    <w:p w:rsidR="00BE1954" w:rsidRPr="0029523E" w:rsidRDefault="00CA3B48">
      <w:pPr>
        <w:spacing w:after="0"/>
        <w:ind w:firstLine="3255"/>
        <w:rPr>
          <w:rFonts w:asciiTheme="minorHAnsi" w:hAnsiTheme="minorHAnsi"/>
        </w:rPr>
      </w:pPr>
      <w:r w:rsidRPr="0029523E">
        <w:rPr>
          <w:rFonts w:asciiTheme="minorHAnsi" w:hAnsiTheme="minorHAnsi"/>
        </w:rPr>
        <w:lastRenderedPageBreak/>
        <w:t xml:space="preserve">g.  </w:t>
      </w:r>
      <w:r w:rsidRPr="0029523E">
        <w:rPr>
          <w:rFonts w:asciiTheme="minorHAnsi" w:hAnsiTheme="minorHAnsi"/>
        </w:rPr>
        <w:tab/>
        <w:t>celková cena bez DPH,</w:t>
      </w:r>
    </w:p>
    <w:p w:rsidR="00BE1954" w:rsidRPr="0029523E" w:rsidRDefault="00CA3B48">
      <w:pPr>
        <w:spacing w:after="0"/>
        <w:ind w:firstLine="3255"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h.   nákladová střediska (zodpovědná pracoviště) v případě </w:t>
      </w:r>
    </w:p>
    <w:p w:rsidR="00BE1954" w:rsidRPr="0029523E" w:rsidRDefault="00CA3B48">
      <w:pPr>
        <w:spacing w:after="0"/>
        <w:ind w:firstLine="3255"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       financování z více pracovišť,</w:t>
      </w:r>
    </w:p>
    <w:p w:rsidR="00BE1954" w:rsidRPr="0029523E" w:rsidRDefault="00CA3B48">
      <w:pPr>
        <w:spacing w:after="0"/>
        <w:ind w:firstLine="3255"/>
        <w:rPr>
          <w:rFonts w:asciiTheme="minorHAnsi" w:hAnsiTheme="minorHAnsi"/>
        </w:rPr>
      </w:pPr>
      <w:r w:rsidRPr="0029523E">
        <w:rPr>
          <w:rFonts w:asciiTheme="minorHAnsi" w:hAnsiTheme="minorHAnsi"/>
        </w:rPr>
        <w:t>i.</w:t>
      </w:r>
      <w:r w:rsidRPr="0029523E">
        <w:rPr>
          <w:rFonts w:asciiTheme="minorHAnsi" w:hAnsiTheme="minorHAnsi"/>
        </w:rPr>
        <w:tab/>
        <w:t>číslo zakázky/zakázek,</w:t>
      </w:r>
    </w:p>
    <w:p w:rsidR="00BE1954" w:rsidRPr="0029523E" w:rsidRDefault="00CA3B48">
      <w:pPr>
        <w:spacing w:after="0"/>
        <w:ind w:firstLine="3255"/>
        <w:rPr>
          <w:rFonts w:asciiTheme="minorHAnsi" w:hAnsiTheme="minorHAnsi"/>
        </w:rPr>
      </w:pPr>
      <w:r w:rsidRPr="0029523E">
        <w:rPr>
          <w:rFonts w:asciiTheme="minorHAnsi" w:hAnsiTheme="minorHAnsi"/>
        </w:rPr>
        <w:t>j.    u doplňkové činnosti bude příloha kalkulační list.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Sekretariát děkana a tajemníka (dále jen SDT) po schválení smlouvy v aplikaci EOS zkontroluje označení smluvních stran podle rejstříku právnických osob</w:t>
      </w:r>
      <w:r w:rsidRPr="0029523E">
        <w:rPr>
          <w:rFonts w:asciiTheme="minorHAnsi" w:hAnsiTheme="minorHAnsi"/>
          <w:vertAlign w:val="superscript"/>
        </w:rPr>
        <w:footnoteReference w:id="3"/>
      </w:r>
      <w:r w:rsidRPr="0029523E">
        <w:rPr>
          <w:rFonts w:asciiTheme="minorHAnsi" w:hAnsiTheme="minorHAnsi"/>
        </w:rPr>
        <w:t>. Případné chyby v označení smluvních stran SDT v součinnosti s právníkem odstraní, o čemž učiní zápis do aplikace EOS. Pokud protistrana smlouvu dosud nepodepsala, SDT smlouvu vytiskne a zajistí podpis návrhu smlouvy protistranou v počtu vyhotovení uvedeném ve smlouvě. Pokud protistrana požaduje, aby smlouvu podepsala jako druhá, SDT v součinnosti s právníkem posoudí váhu argumentů protistrany a s protistranou dojednají postup pro podpis smlouvy.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Pokud provozní smlouvu podepsala protistrana jako první, aniž by tento podpis zajistil SDT, zajistí řešitel, případně  předkladatel, aby podepsaný návrh smlouvy protistranou byl doručen SDT. 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SDT kontroluje soulad návrhu smlouvy předkládaného děkanovi k podpisu s návrhem smlouvy schváleným v aplikaci EOS. V případě zjištění rozdílu mezi verzí podepsanou protistranou a verzí schválenou v EOS, projedná SDT s právníkem další postup. Pokud bude podepsaný návrh smlouvy v souladu s verzí schválenou v aplikaci EOS, předloží SDT návrh smlouvy k podpisu.</w:t>
      </w:r>
    </w:p>
    <w:p w:rsidR="00BE1954" w:rsidRPr="0029523E" w:rsidRDefault="00CA3B48">
      <w:pPr>
        <w:numPr>
          <w:ilvl w:val="0"/>
          <w:numId w:val="4"/>
        </w:numPr>
        <w:spacing w:after="0"/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SDT předkládá k podpisu děkana návrh smlouvy v počtu vyhotovení uvedeném ve smlouvě, společně s průvodkou vytvořenou aplikací EOS dokládající průběh schvalování smlouvy. V případě doplňkové činnosti a smluvního výzkumu je předkládán rovněž kalkulační list schválený v EOS a z EOS vytištěný. </w:t>
      </w:r>
    </w:p>
    <w:p w:rsidR="00BE1954" w:rsidRPr="0029523E" w:rsidRDefault="00CA3B48">
      <w:pPr>
        <w:numPr>
          <w:ilvl w:val="0"/>
          <w:numId w:val="4"/>
        </w:numPr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Pokud děkan návrh smlouvy odmítne podepsat nebo bude mít k návrhu smlouvy připomínky, bude SDT situaci řešit s právníkem a řešitelem a současně informuje o této situaci ekonomické oddělení.</w:t>
      </w:r>
    </w:p>
    <w:p w:rsidR="00BE1954" w:rsidRPr="0029523E" w:rsidRDefault="00CA3B48">
      <w:pPr>
        <w:numPr>
          <w:ilvl w:val="0"/>
          <w:numId w:val="4"/>
        </w:numPr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>V nezbytných případech lze elektronické schvalování smlouvy nahradit listinnou průvodkou ke smlouvě, na které musí být podpis za každé příslušné schvalovací místo. Listinná průvodka je k dispozici u SDT.</w:t>
      </w:r>
    </w:p>
    <w:p w:rsidR="00BE1954" w:rsidRPr="0029523E" w:rsidRDefault="00CA3B48">
      <w:pPr>
        <w:numPr>
          <w:ilvl w:val="0"/>
          <w:numId w:val="4"/>
        </w:numPr>
        <w:ind w:left="426" w:hanging="360"/>
        <w:contextualSpacing/>
        <w:rPr>
          <w:rFonts w:asciiTheme="minorHAnsi" w:hAnsiTheme="minorHAnsi"/>
        </w:rPr>
      </w:pPr>
      <w:r w:rsidRPr="0029523E">
        <w:rPr>
          <w:rFonts w:asciiTheme="minorHAnsi" w:hAnsiTheme="minorHAnsi"/>
        </w:rPr>
        <w:t xml:space="preserve">Po uzavření smlouvy SDT převede veškeré dokumenty a </w:t>
      </w:r>
      <w:proofErr w:type="spellStart"/>
      <w:r w:rsidRPr="0029523E">
        <w:rPr>
          <w:rFonts w:asciiTheme="minorHAnsi" w:hAnsiTheme="minorHAnsi"/>
        </w:rPr>
        <w:t>metadata</w:t>
      </w:r>
      <w:proofErr w:type="spellEnd"/>
      <w:r w:rsidRPr="0029523E">
        <w:rPr>
          <w:rFonts w:asciiTheme="minorHAnsi" w:hAnsiTheme="minorHAnsi"/>
        </w:rPr>
        <w:t xml:space="preserve"> z EOS do elektronického registru smluv vedeného ve FIS a doplní je elektronickou podobou uzavřené smlouvy ve strojově čitelném formátu. V okamžiku převedení dat z EOS do FIS se automaticky rozešle elektronická notifikace příslušnému řešiteli, předkladateli, ekonomickému oddělení a dalším příslušným děkanátním pracovištím.</w:t>
      </w:r>
    </w:p>
    <w:p w:rsidR="0029523E" w:rsidRDefault="0029523E" w:rsidP="0065669E">
      <w:pPr>
        <w:ind w:left="426"/>
        <w:rPr>
          <w:rFonts w:asciiTheme="minorHAnsi" w:hAnsiTheme="minorHAnsi"/>
        </w:rPr>
      </w:pPr>
    </w:p>
    <w:sectPr w:rsidR="0029523E">
      <w:pgSz w:w="11906" w:h="16838"/>
      <w:pgMar w:top="1417" w:right="855" w:bottom="1417" w:left="99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82" w:rsidRDefault="00CA3B48">
      <w:pPr>
        <w:spacing w:after="0" w:line="240" w:lineRule="auto"/>
      </w:pPr>
      <w:r>
        <w:separator/>
      </w:r>
    </w:p>
  </w:endnote>
  <w:endnote w:type="continuationSeparator" w:id="0">
    <w:p w:rsidR="00CF2082" w:rsidRDefault="00C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82" w:rsidRDefault="00CA3B48">
      <w:pPr>
        <w:spacing w:after="0" w:line="240" w:lineRule="auto"/>
      </w:pPr>
      <w:r>
        <w:separator/>
      </w:r>
    </w:p>
  </w:footnote>
  <w:footnote w:type="continuationSeparator" w:id="0">
    <w:p w:rsidR="00CF2082" w:rsidRDefault="00CA3B48">
      <w:pPr>
        <w:spacing w:after="0" w:line="240" w:lineRule="auto"/>
      </w:pPr>
      <w:r>
        <w:continuationSeparator/>
      </w:r>
    </w:p>
  </w:footnote>
  <w:footnote w:id="1">
    <w:p w:rsidR="00BE1954" w:rsidRDefault="00CA3B48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Za smlouvu o poskytnutí dotace se pro účely tohoto opatření považuje i rozhodnutí o poskytnutí dotace.</w:t>
      </w:r>
    </w:p>
  </w:footnote>
  <w:footnote w:id="2">
    <w:p w:rsidR="00BE1954" w:rsidRDefault="00CA3B48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případě doplňkové činnosti a smluvního výzkumu na objednávku se kalkulační list nadále vyhotovuje v listinné podobě s vlastnoručními podpisy.</w:t>
      </w:r>
    </w:p>
  </w:footnote>
  <w:footnote w:id="3">
    <w:p w:rsidR="00BE1954" w:rsidRPr="0029523E" w:rsidRDefault="00CA3B48">
      <w:pPr>
        <w:spacing w:after="0" w:line="240" w:lineRule="auto"/>
      </w:pPr>
      <w:r w:rsidRPr="0029523E">
        <w:rPr>
          <w:vertAlign w:val="superscript"/>
        </w:rPr>
        <w:footnoteRef/>
      </w:r>
      <w:r w:rsidRPr="0029523E">
        <w:t xml:space="preserve">  Případně se označení smluvní strany kontroluje podle aplikace ARES vedené Ministerst</w:t>
      </w:r>
      <w:r w:rsidR="0065669E" w:rsidRPr="0029523E">
        <w:t>vem financí, nebo v případě ciz</w:t>
      </w:r>
      <w:r w:rsidRPr="0029523E">
        <w:t xml:space="preserve">ozemců </w:t>
      </w:r>
      <w:r w:rsidRPr="0029523E">
        <w:rPr>
          <w:rFonts w:ascii="Arial" w:eastAsia="Arial" w:hAnsi="Arial" w:cs="Arial"/>
          <w:color w:val="333333"/>
          <w:highlight w:val="white"/>
        </w:rPr>
        <w:t xml:space="preserve">v aplikaci EU - VIES na </w:t>
      </w:r>
      <w:hyperlink r:id="rId1">
        <w:r w:rsidRPr="0029523E">
          <w:rPr>
            <w:rFonts w:ascii="Arial" w:eastAsia="Arial" w:hAnsi="Arial" w:cs="Arial"/>
            <w:color w:val="6611CC"/>
            <w:highlight w:val="white"/>
          </w:rPr>
          <w:t>http://ec.europa.eu/taxation_customs/vies/?locale=cs</w:t>
        </w:r>
      </w:hyperlink>
      <w:r w:rsidRPr="0029523E">
        <w:rPr>
          <w:rFonts w:ascii="Arial" w:eastAsia="Arial" w:hAnsi="Arial" w:cs="Arial"/>
          <w:color w:val="333333"/>
          <w:highlight w:val="whit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145"/>
    <w:multiLevelType w:val="multilevel"/>
    <w:tmpl w:val="F50A47E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ED77963"/>
    <w:multiLevelType w:val="multilevel"/>
    <w:tmpl w:val="51B859FE"/>
    <w:lvl w:ilvl="0">
      <w:start w:val="1"/>
      <w:numFmt w:val="decimal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2" w15:restartNumberingAfterBreak="0">
    <w:nsid w:val="25091501"/>
    <w:multiLevelType w:val="multilevel"/>
    <w:tmpl w:val="DA9C0DAA"/>
    <w:lvl w:ilvl="0">
      <w:start w:val="1"/>
      <w:numFmt w:val="decimal"/>
      <w:lvlText w:val="%1)"/>
      <w:lvlJc w:val="left"/>
      <w:pPr>
        <w:ind w:left="2685" w:firstLine="220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0F26157"/>
    <w:multiLevelType w:val="multilevel"/>
    <w:tmpl w:val="103C4AE4"/>
    <w:lvl w:ilvl="0">
      <w:start w:val="1"/>
      <w:numFmt w:val="decimal"/>
      <w:lvlText w:val="%1)"/>
      <w:lvlJc w:val="left"/>
      <w:pPr>
        <w:ind w:left="2880" w:firstLine="2520"/>
      </w:pPr>
    </w:lvl>
    <w:lvl w:ilvl="1">
      <w:start w:val="1"/>
      <w:numFmt w:val="lowerLetter"/>
      <w:lvlText w:val="%2."/>
      <w:lvlJc w:val="left"/>
      <w:pPr>
        <w:ind w:left="3600" w:firstLine="3240"/>
      </w:pPr>
    </w:lvl>
    <w:lvl w:ilvl="2">
      <w:start w:val="1"/>
      <w:numFmt w:val="lowerRoman"/>
      <w:lvlText w:val="%3."/>
      <w:lvlJc w:val="right"/>
      <w:pPr>
        <w:ind w:left="4320" w:firstLine="4140"/>
      </w:pPr>
    </w:lvl>
    <w:lvl w:ilvl="3">
      <w:start w:val="1"/>
      <w:numFmt w:val="decimal"/>
      <w:lvlText w:val="%4."/>
      <w:lvlJc w:val="left"/>
      <w:pPr>
        <w:ind w:left="5040" w:firstLine="4680"/>
      </w:pPr>
    </w:lvl>
    <w:lvl w:ilvl="4">
      <w:start w:val="1"/>
      <w:numFmt w:val="lowerLetter"/>
      <w:lvlText w:val="%5."/>
      <w:lvlJc w:val="left"/>
      <w:pPr>
        <w:ind w:left="5760" w:firstLine="5400"/>
      </w:pPr>
    </w:lvl>
    <w:lvl w:ilvl="5">
      <w:start w:val="1"/>
      <w:numFmt w:val="lowerRoman"/>
      <w:lvlText w:val="%6."/>
      <w:lvlJc w:val="right"/>
      <w:pPr>
        <w:ind w:left="6480" w:firstLine="6300"/>
      </w:pPr>
    </w:lvl>
    <w:lvl w:ilvl="6">
      <w:start w:val="1"/>
      <w:numFmt w:val="decimal"/>
      <w:lvlText w:val="%7."/>
      <w:lvlJc w:val="left"/>
      <w:pPr>
        <w:ind w:left="7200" w:firstLine="6840"/>
      </w:pPr>
    </w:lvl>
    <w:lvl w:ilvl="7">
      <w:start w:val="1"/>
      <w:numFmt w:val="lowerLetter"/>
      <w:lvlText w:val="%8."/>
      <w:lvlJc w:val="left"/>
      <w:pPr>
        <w:ind w:left="7920" w:firstLine="7560"/>
      </w:pPr>
    </w:lvl>
    <w:lvl w:ilvl="8">
      <w:start w:val="1"/>
      <w:numFmt w:val="lowerRoman"/>
      <w:lvlText w:val="%9."/>
      <w:lvlJc w:val="right"/>
      <w:pPr>
        <w:ind w:left="8640" w:firstLine="8460"/>
      </w:pPr>
    </w:lvl>
  </w:abstractNum>
  <w:abstractNum w:abstractNumId="4" w15:restartNumberingAfterBreak="0">
    <w:nsid w:val="41163DD2"/>
    <w:multiLevelType w:val="multilevel"/>
    <w:tmpl w:val="D274309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A556A6A"/>
    <w:multiLevelType w:val="multilevel"/>
    <w:tmpl w:val="5E1CB83C"/>
    <w:lvl w:ilvl="0">
      <w:start w:val="1"/>
      <w:numFmt w:val="decimal"/>
      <w:lvlText w:val="%1)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6" w15:restartNumberingAfterBreak="0">
    <w:nsid w:val="4BF256AC"/>
    <w:multiLevelType w:val="multilevel"/>
    <w:tmpl w:val="7DF46D0E"/>
    <w:lvl w:ilvl="0">
      <w:start w:val="1"/>
      <w:numFmt w:val="decimal"/>
      <w:lvlText w:val="%1.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)"/>
      <w:lvlJc w:val="left"/>
      <w:pPr>
        <w:ind w:left="268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7" w15:restartNumberingAfterBreak="0">
    <w:nsid w:val="4C441F18"/>
    <w:multiLevelType w:val="multilevel"/>
    <w:tmpl w:val="0BA4E63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4"/>
    <w:rsid w:val="00074F07"/>
    <w:rsid w:val="001A6B93"/>
    <w:rsid w:val="00247CBC"/>
    <w:rsid w:val="0029523E"/>
    <w:rsid w:val="002B0EC9"/>
    <w:rsid w:val="003D4CF1"/>
    <w:rsid w:val="005D1744"/>
    <w:rsid w:val="005F264E"/>
    <w:rsid w:val="0065669E"/>
    <w:rsid w:val="00BE1954"/>
    <w:rsid w:val="00CA3B48"/>
    <w:rsid w:val="00CE1E86"/>
    <w:rsid w:val="00CF2082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A99D"/>
  <w15:docId w15:val="{BD8DB7A8-5D18-4A39-B7BE-222411A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axation_customs/vies/?local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Komrsová Jitka</cp:lastModifiedBy>
  <cp:revision>3</cp:revision>
  <cp:lastPrinted>2016-09-29T11:48:00Z</cp:lastPrinted>
  <dcterms:created xsi:type="dcterms:W3CDTF">2016-10-03T16:43:00Z</dcterms:created>
  <dcterms:modified xsi:type="dcterms:W3CDTF">2016-10-03T16:44:00Z</dcterms:modified>
</cp:coreProperties>
</file>