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B6" w:rsidRP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</w:pPr>
      <w:bookmarkStart w:id="0" w:name="_GoBack"/>
      <w:r w:rsidRPr="00067EB6">
        <w:rPr>
          <w:rFonts w:ascii="Arial" w:eastAsia="Times New Roman" w:hAnsi="Arial" w:cs="Arial"/>
          <w:b/>
          <w:bCs/>
          <w:noProof/>
          <w:color w:val="0000FF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652D6D1D">
            <wp:simplePos x="0" y="0"/>
            <wp:positionH relativeFrom="margin">
              <wp:align>center</wp:align>
            </wp:positionH>
            <wp:positionV relativeFrom="paragraph">
              <wp:posOffset>469265</wp:posOffset>
            </wp:positionV>
            <wp:extent cx="6657975" cy="4993481"/>
            <wp:effectExtent l="0" t="0" r="0" b="0"/>
            <wp:wrapNone/>
            <wp:docPr id="19" name="obrázek 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EB6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 xml:space="preserve">Open PhD </w:t>
      </w:r>
      <w:proofErr w:type="spellStart"/>
      <w:r w:rsidRPr="00067EB6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Positions</w:t>
      </w:r>
      <w:proofErr w:type="spellEnd"/>
      <w:r w:rsidRPr="00067EB6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 xml:space="preserve"> in Single-Cell </w:t>
      </w:r>
      <w:proofErr w:type="spellStart"/>
      <w:r w:rsidRPr="00067EB6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Transcriptomics</w:t>
      </w:r>
      <w:bookmarkEnd w:id="0"/>
      <w:proofErr w:type="spellEnd"/>
    </w:p>
    <w:p w:rsid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Pr="00067EB6" w:rsidRDefault="00067EB6" w:rsidP="00067EB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</w:p>
    <w:p w:rsidR="00067EB6" w:rsidRPr="00067EB6" w:rsidRDefault="00067EB6" w:rsidP="00067EB6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067EB6" w:rsidRP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Laboratory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Gene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Expression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well-funded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research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laboratory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excellent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publication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track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record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comprised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researchers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unique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scientific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expertise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focus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 gene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expression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studies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using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combination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up-to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techniques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such as single cell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expression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profiling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next-generation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sequencing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research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projects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ﬁeld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neurobiology and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are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involved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development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methods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nucleic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acids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analyses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067EB6" w:rsidRP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We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offer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three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PhD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positions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:</w:t>
      </w:r>
    </w:p>
    <w:p w:rsidR="00067EB6" w:rsidRPr="00067EB6" w:rsidRDefault="00067EB6" w:rsidP="00067EB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Single-cell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profiling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glial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cells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in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progression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amyotrophic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lateral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sclerosis</w:t>
      </w:r>
      <w:proofErr w:type="spellEnd"/>
    </w:p>
    <w:p w:rsidR="00067EB6" w:rsidRPr="00067EB6" w:rsidRDefault="00067EB6" w:rsidP="00067EB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Transcriptome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analysis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acute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injuries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central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nervous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system</w:t>
      </w:r>
      <w:proofErr w:type="spellEnd"/>
    </w:p>
    <w:p w:rsidR="00067EB6" w:rsidRPr="00067EB6" w:rsidRDefault="00067EB6" w:rsidP="00067EB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Single-cell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transcriptomic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analysis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Alexander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disease</w:t>
      </w:r>
      <w:proofErr w:type="spellEnd"/>
    </w:p>
    <w:p w:rsidR="00067EB6" w:rsidRP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successful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candidate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responsible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complete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gene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expression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analysis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including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sample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preparation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quality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control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RT-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qPCR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RNA-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Seq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profiling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single-cell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resolution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data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analysis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candidate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should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good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background in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genetics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molecular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cell biology. Basic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knowledge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interest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scientific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programming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e.g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R, Python, Unix)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advantageous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Previous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experience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neurobiology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gene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expression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analysis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using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RT-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qPCR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RNA-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Seq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are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appreciated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although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not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necessary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As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project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performed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collaboration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good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communication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skills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willingness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learn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and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proactive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attitude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are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absolutely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mandatory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positions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are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suitable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wet-lab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as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well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as dry-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lab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scientists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;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based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candidate´s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preferences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interdisciplinary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skills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are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welcomed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</w:t>
      </w:r>
    </w:p>
    <w:p w:rsidR="00067EB6" w:rsidRP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We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offer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 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begin"/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instrText xml:space="preserve"> HYPERLINK "https://www.labgenexp.eu/news/winter-trip-4" </w:instrText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separate"/>
      </w:r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friendly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and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supportive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environment</w:t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end"/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 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begin"/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instrText xml:space="preserve"> HYPERLINK "https://www.labgenexp.eu/research" </w:instrText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separate"/>
      </w:r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secured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financing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end"/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 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begin"/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instrText xml:space="preserve"> HYPERLINK "https://www.nature.com/articles/s41592-019-0703-5" </w:instrText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separate"/>
      </w:r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possibility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to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work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with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cutting-edge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techniques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end"/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and 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begin"/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instrText xml:space="preserve"> HYPERLINK "https://www.labgenexp.eu/publications" </w:instrText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separate"/>
      </w:r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good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opportunities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for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publications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end"/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laboratory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located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new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state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-art </w:t>
      </w:r>
      <w:hyperlink r:id="rId7" w:history="1">
        <w:r w:rsidRPr="00067EB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 xml:space="preserve">BIOCEV </w:t>
        </w:r>
        <w:proofErr w:type="spellStart"/>
        <w:r w:rsidRPr="00067EB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research</w:t>
        </w:r>
        <w:proofErr w:type="spellEnd"/>
        <w:r w:rsidRPr="00067EB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 xml:space="preserve"> center</w:t>
        </w:r>
      </w:hyperlink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067EB6" w:rsidRP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Deadline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applications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: 31. 3. 2020</w:t>
      </w:r>
    </w:p>
    <w:p w:rsidR="00067EB6" w:rsidRP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Interested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applicants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should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contact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Dr. Lukas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Valihrach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(</w:t>
      </w:r>
      <w:hyperlink r:id="rId8" w:history="1">
        <w:r w:rsidRPr="00067EB6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cs-CZ"/>
          </w:rPr>
          <w:t>lukas.valihrach@ibt.cas.cz</w:t>
        </w:r>
      </w:hyperlink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) </w:t>
      </w:r>
      <w:proofErr w:type="spellStart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or</w:t>
      </w:r>
      <w:proofErr w:type="spellEnd"/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Prof. Mikael Kubista (</w:t>
      </w:r>
      <w:hyperlink r:id="rId9" w:history="1">
        <w:r w:rsidRPr="00067EB6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cs-CZ"/>
          </w:rPr>
          <w:t>mikael.kubista@ibt.cas.cz</w:t>
        </w:r>
      </w:hyperlink>
      <w:r w:rsidRPr="00067E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)</w:t>
      </w: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and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include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their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CV,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cover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letter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describing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their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background and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research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interests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two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contacts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reference.</w:t>
      </w:r>
    </w:p>
    <w:p w:rsidR="00067EB6" w:rsidRP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067EB6" w:rsidRPr="00067EB6" w:rsidRDefault="00067EB6" w:rsidP="00067EB6">
      <w:pPr>
        <w:spacing w:beforeAutospacing="1" w:after="0" w:afterAutospacing="1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1C2777"/>
          <w:sz w:val="23"/>
          <w:szCs w:val="23"/>
          <w:lang w:eastAsia="cs-CZ"/>
        </w:rPr>
      </w:pP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Join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us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and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work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with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technology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that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will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shape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life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sciences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in </w:t>
      </w:r>
      <w:proofErr w:type="spellStart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>the</w:t>
      </w:r>
      <w:proofErr w:type="spellEnd"/>
      <w:r w:rsidRPr="00067EB6">
        <w:rPr>
          <w:rFonts w:ascii="Arial" w:eastAsia="Times New Roman" w:hAnsi="Arial" w:cs="Arial"/>
          <w:b/>
          <w:bCs/>
          <w:color w:val="1C2777"/>
          <w:sz w:val="23"/>
          <w:szCs w:val="23"/>
          <w:bdr w:val="none" w:sz="0" w:space="0" w:color="auto" w:frame="1"/>
          <w:lang w:eastAsia="cs-CZ"/>
        </w:rPr>
        <w:t xml:space="preserve"> 2020s! </w:t>
      </w:r>
      <w:r w:rsidRPr="00067EB6">
        <w:rPr>
          <w:rFonts w:ascii="Arial" w:eastAsia="Times New Roman" w:hAnsi="Arial" w:cs="Arial"/>
          <w:color w:val="1C2777"/>
          <w:sz w:val="23"/>
          <w:szCs w:val="23"/>
          <w:lang w:eastAsia="cs-CZ"/>
        </w:rPr>
        <w:t xml:space="preserve"> </w:t>
      </w:r>
    </w:p>
    <w:p w:rsidR="00067EB6" w:rsidRPr="00067EB6" w:rsidRDefault="00067EB6" w:rsidP="00067EB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7E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https://www.labgenexp.eu/news/open-phd-positions</w:t>
      </w:r>
    </w:p>
    <w:sectPr w:rsidR="00067EB6" w:rsidRPr="0006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295"/>
    <w:multiLevelType w:val="multilevel"/>
    <w:tmpl w:val="3EB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90327"/>
    <w:multiLevelType w:val="multilevel"/>
    <w:tmpl w:val="6016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B6"/>
    <w:rsid w:val="00067EB6"/>
    <w:rsid w:val="00103BBF"/>
    <w:rsid w:val="00A73196"/>
    <w:rsid w:val="00B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31C8"/>
  <w15:chartTrackingRefBased/>
  <w15:docId w15:val="{335974DF-E128-46AB-A0BE-94CBBB22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080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156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valihrach@ibt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cev.eu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labgenexp.eu/file.php?nid=17117&amp;oid=73561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kael.kubista@ibt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Šebková</dc:creator>
  <cp:keywords/>
  <dc:description/>
  <cp:lastModifiedBy>Nataša Šebková</cp:lastModifiedBy>
  <cp:revision>1</cp:revision>
  <dcterms:created xsi:type="dcterms:W3CDTF">2020-02-06T13:52:00Z</dcterms:created>
  <dcterms:modified xsi:type="dcterms:W3CDTF">2020-02-06T13:55:00Z</dcterms:modified>
</cp:coreProperties>
</file>