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78B5" w14:textId="18600F1C" w:rsidR="008329A0" w:rsidRPr="00B31DAD" w:rsidRDefault="002758A0" w:rsidP="008329A0">
      <w:pPr>
        <w:pStyle w:val="Nze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48"/>
        </w:rPr>
        <w:t>Ing. Veronika Nekvindová, Ph.D.</w:t>
      </w:r>
      <w:r w:rsidR="00B31DAD">
        <w:rPr>
          <w:rFonts w:asciiTheme="minorHAnsi" w:hAnsiTheme="minorHAnsi"/>
          <w:sz w:val="48"/>
        </w:rPr>
        <w:t xml:space="preserve"> </w:t>
      </w:r>
      <w:r w:rsidR="00B31DAD">
        <w:rPr>
          <w:rFonts w:asciiTheme="minorHAnsi" w:hAnsiTheme="minorHAnsi"/>
          <w:sz w:val="24"/>
          <w:szCs w:val="24"/>
        </w:rPr>
        <w:t>(</w:t>
      </w:r>
      <w:proofErr w:type="spellStart"/>
      <w:r w:rsidR="00B31DAD">
        <w:rPr>
          <w:rFonts w:asciiTheme="minorHAnsi" w:hAnsiTheme="minorHAnsi"/>
          <w:sz w:val="24"/>
          <w:szCs w:val="24"/>
        </w:rPr>
        <w:t>roz</w:t>
      </w:r>
      <w:proofErr w:type="spellEnd"/>
      <w:r w:rsidR="00B31DAD">
        <w:rPr>
          <w:rFonts w:asciiTheme="minorHAnsi" w:hAnsiTheme="minorHAnsi"/>
          <w:sz w:val="24"/>
          <w:szCs w:val="24"/>
        </w:rPr>
        <w:t>. Kadlecová)</w:t>
      </w:r>
    </w:p>
    <w:p w14:paraId="23665EDE" w14:textId="6255C5AB" w:rsidR="008329A0" w:rsidRPr="00D221A9" w:rsidRDefault="008329A0" w:rsidP="00B82E30">
      <w:pPr>
        <w:tabs>
          <w:tab w:val="left" w:pos="3969"/>
        </w:tabs>
        <w:spacing w:after="120" w:line="240" w:lineRule="auto"/>
        <w:jc w:val="both"/>
        <w:rPr>
          <w:rFonts w:cs="Times New Roman"/>
        </w:rPr>
      </w:pPr>
      <w:r w:rsidRPr="00D221A9">
        <w:rPr>
          <w:rFonts w:cs="Times New Roman"/>
          <w:b/>
        </w:rPr>
        <w:t>Datum a místo narození</w:t>
      </w:r>
      <w:r w:rsidR="00CC23BE">
        <w:rPr>
          <w:rFonts w:cs="Times New Roman"/>
        </w:rPr>
        <w:t xml:space="preserve">: </w:t>
      </w:r>
      <w:r w:rsidR="002758A0">
        <w:rPr>
          <w:rFonts w:cs="Times New Roman"/>
        </w:rPr>
        <w:t>26</w:t>
      </w:r>
      <w:r w:rsidR="00C95FAD">
        <w:rPr>
          <w:rFonts w:cs="Times New Roman"/>
        </w:rPr>
        <w:t>.</w:t>
      </w:r>
      <w:r w:rsidR="002758A0">
        <w:rPr>
          <w:rFonts w:cs="Times New Roman"/>
        </w:rPr>
        <w:t xml:space="preserve"> prosince</w:t>
      </w:r>
      <w:r w:rsidR="00C95FAD">
        <w:rPr>
          <w:rFonts w:cs="Times New Roman"/>
        </w:rPr>
        <w:t xml:space="preserve"> 198</w:t>
      </w:r>
      <w:r w:rsidR="002758A0">
        <w:rPr>
          <w:rFonts w:cs="Times New Roman"/>
        </w:rPr>
        <w:t>4</w:t>
      </w:r>
      <w:r w:rsidRPr="00D221A9">
        <w:rPr>
          <w:rFonts w:cs="Times New Roman"/>
        </w:rPr>
        <w:t xml:space="preserve">, </w:t>
      </w:r>
      <w:r w:rsidR="002758A0">
        <w:rPr>
          <w:rFonts w:cs="Times New Roman"/>
        </w:rPr>
        <w:t>Pelhřimov</w:t>
      </w:r>
    </w:p>
    <w:p w14:paraId="29523D72" w14:textId="77777777" w:rsidR="008329A0" w:rsidRDefault="001D27AD" w:rsidP="00B82E30">
      <w:pPr>
        <w:spacing w:before="100" w:beforeAutospacing="1" w:after="12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Pracovní zkušenosti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1B62DE" w:rsidRPr="00D221A9" w14:paraId="0D1D6F11" w14:textId="77777777" w:rsidTr="002D4EB3">
        <w:tc>
          <w:tcPr>
            <w:tcW w:w="2065" w:type="dxa"/>
          </w:tcPr>
          <w:p w14:paraId="1064BA4D" w14:textId="34262BCB" w:rsidR="001B62DE" w:rsidRPr="00D221A9" w:rsidRDefault="00C95FAD" w:rsidP="002F0476">
            <w:pPr>
              <w:tabs>
                <w:tab w:val="left" w:pos="2835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201</w:t>
            </w:r>
            <w:r w:rsidR="002758A0">
              <w:rPr>
                <w:rFonts w:cs="Times New Roman"/>
              </w:rPr>
              <w:t>5</w:t>
            </w:r>
            <w:r w:rsidR="001B62DE" w:rsidRPr="00D221A9">
              <w:rPr>
                <w:rFonts w:cs="Times New Roman"/>
              </w:rPr>
              <w:t xml:space="preserve"> – dosud</w:t>
            </w:r>
          </w:p>
        </w:tc>
        <w:tc>
          <w:tcPr>
            <w:tcW w:w="6997" w:type="dxa"/>
          </w:tcPr>
          <w:p w14:paraId="034BC6FC" w14:textId="051C74A7" w:rsidR="001B62DE" w:rsidRPr="00D221A9" w:rsidRDefault="00C95FAD" w:rsidP="002F0476">
            <w:pPr>
              <w:tabs>
                <w:tab w:val="left" w:pos="2835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Výzkumný a šlechtitelský ústav ovocnářský Holovousy s.r.o.</w:t>
            </w:r>
          </w:p>
        </w:tc>
      </w:tr>
      <w:tr w:rsidR="001B62DE" w:rsidRPr="00D221A9" w14:paraId="5802FC2C" w14:textId="77777777" w:rsidTr="002D4EB3">
        <w:tc>
          <w:tcPr>
            <w:tcW w:w="2065" w:type="dxa"/>
          </w:tcPr>
          <w:p w14:paraId="3D3A9786" w14:textId="7AA726E6" w:rsidR="001B62DE" w:rsidRPr="0023687D" w:rsidRDefault="0023687D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3687D">
              <w:rPr>
                <w:rFonts w:cs="Times New Roman"/>
              </w:rPr>
              <w:t>20</w:t>
            </w:r>
            <w:r w:rsidR="002758A0">
              <w:rPr>
                <w:rFonts w:cs="Times New Roman"/>
              </w:rPr>
              <w:t>13</w:t>
            </w:r>
            <w:r w:rsidRPr="0023687D">
              <w:rPr>
                <w:rFonts w:cs="Times New Roman"/>
              </w:rPr>
              <w:t xml:space="preserve"> - 201</w:t>
            </w:r>
            <w:r w:rsidR="002758A0">
              <w:rPr>
                <w:rFonts w:cs="Times New Roman"/>
              </w:rPr>
              <w:t>4</w:t>
            </w:r>
          </w:p>
        </w:tc>
        <w:tc>
          <w:tcPr>
            <w:tcW w:w="6997" w:type="dxa"/>
          </w:tcPr>
          <w:p w14:paraId="0BD3D0EE" w14:textId="159392D8" w:rsidR="001B62DE" w:rsidRPr="00D221A9" w:rsidRDefault="002758A0" w:rsidP="002F0476">
            <w:pPr>
              <w:tabs>
                <w:tab w:val="left" w:pos="2835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Centrum Excelence Telč, Ústav teoretické a aplikované mechaniky AV ČR, </w:t>
            </w:r>
            <w:proofErr w:type="spellStart"/>
            <w:proofErr w:type="gramStart"/>
            <w:r>
              <w:rPr>
                <w:rFonts w:cs="Times New Roman"/>
              </w:rPr>
              <w:t>v.v.</w:t>
            </w:r>
            <w:proofErr w:type="gramEnd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23687D" w:rsidRPr="00D221A9" w14:paraId="5DCBD4BE" w14:textId="77777777" w:rsidTr="002D4EB3">
        <w:tc>
          <w:tcPr>
            <w:tcW w:w="2065" w:type="dxa"/>
          </w:tcPr>
          <w:p w14:paraId="22652800" w14:textId="6B4E46E6" w:rsidR="0023687D" w:rsidRPr="002D4EB3" w:rsidRDefault="0023687D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D4EB3">
              <w:rPr>
                <w:rFonts w:cs="Times New Roman"/>
              </w:rPr>
              <w:t>2015</w:t>
            </w:r>
          </w:p>
        </w:tc>
        <w:tc>
          <w:tcPr>
            <w:tcW w:w="6997" w:type="dxa"/>
          </w:tcPr>
          <w:p w14:paraId="1DBC59C0" w14:textId="685AEEDB" w:rsidR="0023687D" w:rsidRPr="00527E45" w:rsidRDefault="0023687D" w:rsidP="002F0476">
            <w:pPr>
              <w:rPr>
                <w:rFonts w:cs="Times New Roman"/>
                <w:sz w:val="24"/>
                <w:szCs w:val="24"/>
              </w:rPr>
            </w:pPr>
            <w:r w:rsidRPr="002D4EB3">
              <w:rPr>
                <w:rFonts w:cs="Times New Roman"/>
                <w:szCs w:val="24"/>
              </w:rPr>
              <w:t xml:space="preserve">Odborná stáž </w:t>
            </w:r>
            <w:r w:rsidR="002D4EB3">
              <w:rPr>
                <w:rFonts w:cs="Times New Roman"/>
                <w:szCs w:val="24"/>
              </w:rPr>
              <w:t xml:space="preserve">Julius </w:t>
            </w:r>
            <w:proofErr w:type="spellStart"/>
            <w:r w:rsidR="002D4EB3">
              <w:rPr>
                <w:rFonts w:cs="Times New Roman"/>
                <w:szCs w:val="24"/>
              </w:rPr>
              <w:t>Kühn</w:t>
            </w:r>
            <w:proofErr w:type="spellEnd"/>
            <w:r w:rsidR="002D4EB3">
              <w:rPr>
                <w:rFonts w:cs="Times New Roman"/>
                <w:szCs w:val="24"/>
              </w:rPr>
              <w:t xml:space="preserve"> Institute, </w:t>
            </w:r>
            <w:proofErr w:type="spellStart"/>
            <w:r w:rsidR="002D4EB3">
              <w:rPr>
                <w:rFonts w:cs="Times New Roman"/>
                <w:szCs w:val="24"/>
              </w:rPr>
              <w:t>Pillnitz-Dresden</w:t>
            </w:r>
            <w:proofErr w:type="spellEnd"/>
            <w:r w:rsidR="002D4EB3">
              <w:rPr>
                <w:rFonts w:cs="Times New Roman"/>
                <w:szCs w:val="24"/>
              </w:rPr>
              <w:t>, Německo</w:t>
            </w:r>
          </w:p>
        </w:tc>
      </w:tr>
      <w:tr w:rsidR="002D4EB3" w:rsidRPr="00D221A9" w14:paraId="6E3129DB" w14:textId="77777777" w:rsidTr="002D4EB3">
        <w:tc>
          <w:tcPr>
            <w:tcW w:w="2065" w:type="dxa"/>
          </w:tcPr>
          <w:p w14:paraId="2133258D" w14:textId="77777777" w:rsidR="002D4EB3" w:rsidRPr="002D4EB3" w:rsidRDefault="002D4EB3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D4EB3">
              <w:rPr>
                <w:rFonts w:cs="Times New Roman"/>
              </w:rPr>
              <w:t>2015</w:t>
            </w:r>
          </w:p>
        </w:tc>
        <w:tc>
          <w:tcPr>
            <w:tcW w:w="6997" w:type="dxa"/>
          </w:tcPr>
          <w:p w14:paraId="42345F19" w14:textId="53E96D00" w:rsidR="002D4EB3" w:rsidRPr="00527E45" w:rsidRDefault="002D4EB3" w:rsidP="002F0476">
            <w:pPr>
              <w:rPr>
                <w:rFonts w:cs="Times New Roman"/>
                <w:sz w:val="24"/>
                <w:szCs w:val="24"/>
              </w:rPr>
            </w:pPr>
            <w:r w:rsidRPr="002D4EB3">
              <w:rPr>
                <w:rFonts w:cs="Times New Roman"/>
                <w:szCs w:val="24"/>
              </w:rPr>
              <w:t xml:space="preserve">Odborná stáž </w:t>
            </w:r>
            <w:proofErr w:type="spellStart"/>
            <w:r>
              <w:rPr>
                <w:rFonts w:cs="Times New Roman"/>
                <w:szCs w:val="24"/>
              </w:rPr>
              <w:t>Foundation</w:t>
            </w:r>
            <w:proofErr w:type="spellEnd"/>
            <w:r>
              <w:rPr>
                <w:rFonts w:cs="Times New Roman"/>
                <w:szCs w:val="24"/>
              </w:rPr>
              <w:t xml:space="preserve"> Edmund Mach, San Michele </w:t>
            </w:r>
            <w:proofErr w:type="spellStart"/>
            <w:r>
              <w:rPr>
                <w:rFonts w:cs="Times New Roman"/>
                <w:szCs w:val="24"/>
              </w:rPr>
              <w:t>all´Adige</w:t>
            </w:r>
            <w:proofErr w:type="spellEnd"/>
            <w:r>
              <w:rPr>
                <w:rFonts w:cs="Times New Roman"/>
                <w:szCs w:val="24"/>
              </w:rPr>
              <w:t>, Italy</w:t>
            </w:r>
          </w:p>
        </w:tc>
      </w:tr>
      <w:tr w:rsidR="002D4EB3" w:rsidRPr="00D221A9" w14:paraId="21362DA2" w14:textId="77777777" w:rsidTr="002D4EB3">
        <w:tc>
          <w:tcPr>
            <w:tcW w:w="2065" w:type="dxa"/>
          </w:tcPr>
          <w:p w14:paraId="783860A2" w14:textId="3D0768E0" w:rsidR="002D4EB3" w:rsidRPr="002D4EB3" w:rsidRDefault="002D4EB3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6997" w:type="dxa"/>
          </w:tcPr>
          <w:p w14:paraId="25E01945" w14:textId="634F1A49" w:rsidR="002D4EB3" w:rsidRPr="002D4EB3" w:rsidRDefault="00973AC6" w:rsidP="002F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Odborná</w:t>
            </w:r>
            <w:r w:rsidR="002D4EB3">
              <w:rPr>
                <w:rFonts w:cs="Times New Roman"/>
                <w:szCs w:val="24"/>
              </w:rPr>
              <w:t xml:space="preserve"> stáž Výzkumný ústav živočišné výroby, </w:t>
            </w:r>
            <w:proofErr w:type="spellStart"/>
            <w:proofErr w:type="gramStart"/>
            <w:r w:rsidR="002D4EB3">
              <w:rPr>
                <w:rFonts w:cs="Times New Roman"/>
                <w:szCs w:val="24"/>
              </w:rPr>
              <w:t>v.v.</w:t>
            </w:r>
            <w:proofErr w:type="gramEnd"/>
            <w:r w:rsidR="002D4EB3">
              <w:rPr>
                <w:rFonts w:cs="Times New Roman"/>
                <w:szCs w:val="24"/>
              </w:rPr>
              <w:t>i</w:t>
            </w:r>
            <w:proofErr w:type="spellEnd"/>
            <w:r w:rsidR="002D4EB3">
              <w:rPr>
                <w:rFonts w:cs="Times New Roman"/>
                <w:szCs w:val="24"/>
              </w:rPr>
              <w:t>., Praha Uhříněves</w:t>
            </w:r>
          </w:p>
        </w:tc>
      </w:tr>
      <w:tr w:rsidR="00973AC6" w:rsidRPr="00D221A9" w14:paraId="74AEB522" w14:textId="77777777" w:rsidTr="002D4EB3">
        <w:tc>
          <w:tcPr>
            <w:tcW w:w="2065" w:type="dxa"/>
          </w:tcPr>
          <w:p w14:paraId="388924A1" w14:textId="6D67C52C" w:rsidR="00973AC6" w:rsidRDefault="00973AC6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6997" w:type="dxa"/>
          </w:tcPr>
          <w:p w14:paraId="004F1394" w14:textId="5399A5C1" w:rsidR="00973AC6" w:rsidRDefault="00973AC6" w:rsidP="002F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Odborná stáž </w:t>
            </w:r>
            <w:proofErr w:type="spellStart"/>
            <w:r>
              <w:rPr>
                <w:rFonts w:cs="Times New Roman"/>
                <w:szCs w:val="24"/>
              </w:rPr>
              <w:t>Research</w:t>
            </w:r>
            <w:proofErr w:type="spellEnd"/>
            <w:r>
              <w:rPr>
                <w:rFonts w:cs="Times New Roman"/>
                <w:szCs w:val="24"/>
              </w:rPr>
              <w:t xml:space="preserve"> centre </w:t>
            </w:r>
            <w:proofErr w:type="spellStart"/>
            <w:r>
              <w:rPr>
                <w:rFonts w:cs="Times New Roman"/>
                <w:szCs w:val="24"/>
              </w:rPr>
              <w:t>Foulum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Aarhus</w:t>
            </w:r>
            <w:proofErr w:type="spellEnd"/>
            <w:r>
              <w:rPr>
                <w:rFonts w:cs="Times New Roman"/>
                <w:szCs w:val="24"/>
              </w:rPr>
              <w:t xml:space="preserve"> University</w:t>
            </w:r>
          </w:p>
        </w:tc>
      </w:tr>
    </w:tbl>
    <w:p w14:paraId="2C4DC171" w14:textId="77777777" w:rsidR="008329A0" w:rsidRPr="00D221A9" w:rsidRDefault="008329A0" w:rsidP="001D27AD">
      <w:pPr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Vzdělání</w:t>
      </w:r>
      <w:r w:rsidR="001D27AD">
        <w:rPr>
          <w:rFonts w:cs="Times New Roman"/>
          <w:b/>
        </w:rPr>
        <w:t>, akademické a vědecké hodnosti</w:t>
      </w:r>
      <w:r w:rsidRPr="00D221A9">
        <w:rPr>
          <w:rFonts w:cs="Times New Roman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3"/>
        <w:gridCol w:w="6999"/>
      </w:tblGrid>
      <w:tr w:rsidR="00DD61EB" w:rsidRPr="00D221A9" w14:paraId="5C29258F" w14:textId="77777777" w:rsidTr="00DD61EB">
        <w:tc>
          <w:tcPr>
            <w:tcW w:w="2063" w:type="dxa"/>
          </w:tcPr>
          <w:p w14:paraId="3E02E152" w14:textId="49D76BE3" w:rsidR="00B95E13" w:rsidRPr="00D221A9" w:rsidRDefault="00B95E13" w:rsidP="002F0476">
            <w:pPr>
              <w:tabs>
                <w:tab w:val="left" w:pos="2835"/>
              </w:tabs>
              <w:jc w:val="both"/>
              <w:rPr>
                <w:rFonts w:cs="Times New Roman"/>
                <w:b/>
              </w:rPr>
            </w:pPr>
            <w:r w:rsidRPr="00D221A9">
              <w:rPr>
                <w:rFonts w:cs="Times New Roman"/>
              </w:rPr>
              <w:t>20</w:t>
            </w:r>
            <w:r w:rsidR="00202FAE">
              <w:rPr>
                <w:rFonts w:cs="Times New Roman"/>
              </w:rPr>
              <w:t>1</w:t>
            </w:r>
            <w:r w:rsidR="00F90373">
              <w:rPr>
                <w:rFonts w:cs="Times New Roman"/>
              </w:rPr>
              <w:t>0</w:t>
            </w:r>
            <w:r w:rsidR="00202FAE">
              <w:rPr>
                <w:rFonts w:cs="Times New Roman"/>
              </w:rPr>
              <w:t xml:space="preserve"> - </w:t>
            </w:r>
            <w:r w:rsidR="00F90373">
              <w:rPr>
                <w:rFonts w:cs="Times New Roman"/>
              </w:rPr>
              <w:t>2014</w:t>
            </w:r>
          </w:p>
        </w:tc>
        <w:tc>
          <w:tcPr>
            <w:tcW w:w="6999" w:type="dxa"/>
            <w:vAlign w:val="center"/>
          </w:tcPr>
          <w:p w14:paraId="0F8AD564" w14:textId="34079819" w:rsidR="00B95E13" w:rsidRPr="00D221A9" w:rsidRDefault="004B70BF" w:rsidP="002F0476">
            <w:pPr>
              <w:tabs>
                <w:tab w:val="left" w:pos="2835"/>
              </w:tabs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Česká zemědělská univerzita v Praze – doktorské </w:t>
            </w:r>
            <w:r w:rsidR="00202FAE">
              <w:rPr>
                <w:rFonts w:cs="Times New Roman"/>
              </w:rPr>
              <w:t>studium</w:t>
            </w:r>
          </w:p>
        </w:tc>
      </w:tr>
      <w:tr w:rsidR="00DD61EB" w:rsidRPr="00D221A9" w14:paraId="4B7847CA" w14:textId="77777777" w:rsidTr="00DD61EB">
        <w:tc>
          <w:tcPr>
            <w:tcW w:w="2063" w:type="dxa"/>
          </w:tcPr>
          <w:p w14:paraId="3192BCB0" w14:textId="2262C5FC" w:rsidR="00DD61EB" w:rsidRPr="0023687D" w:rsidRDefault="00DD61EB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2007 - 2010</w:t>
            </w:r>
          </w:p>
        </w:tc>
        <w:tc>
          <w:tcPr>
            <w:tcW w:w="6999" w:type="dxa"/>
            <w:vAlign w:val="center"/>
          </w:tcPr>
          <w:p w14:paraId="655D6854" w14:textId="775E6711" w:rsidR="00DD61EB" w:rsidRPr="00D221A9" w:rsidRDefault="00DD61EB" w:rsidP="002F0476">
            <w:pPr>
              <w:tabs>
                <w:tab w:val="left" w:pos="2835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Česká zemědělská univerzita v Praze – magisterské studium obor Reprodukční biotechnologie</w:t>
            </w:r>
          </w:p>
        </w:tc>
      </w:tr>
      <w:tr w:rsidR="00DD61EB" w:rsidRPr="00D221A9" w14:paraId="19F6F726" w14:textId="77777777" w:rsidTr="00DD61EB">
        <w:tc>
          <w:tcPr>
            <w:tcW w:w="2063" w:type="dxa"/>
          </w:tcPr>
          <w:p w14:paraId="6066F216" w14:textId="02BE9579" w:rsidR="00B95E13" w:rsidRPr="00527E45" w:rsidRDefault="0023687D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7E45">
              <w:rPr>
                <w:rFonts w:cs="Times New Roman"/>
              </w:rPr>
              <w:t>200</w:t>
            </w:r>
            <w:r w:rsidR="00DD61EB">
              <w:rPr>
                <w:rFonts w:cs="Times New Roman"/>
              </w:rPr>
              <w:t>7</w:t>
            </w:r>
          </w:p>
        </w:tc>
        <w:tc>
          <w:tcPr>
            <w:tcW w:w="6999" w:type="dxa"/>
          </w:tcPr>
          <w:p w14:paraId="686230CC" w14:textId="0E176313" w:rsidR="00B95E13" w:rsidRPr="00527E45" w:rsidRDefault="00DD61EB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Stoas</w:t>
            </w:r>
            <w:proofErr w:type="spellEnd"/>
            <w:r>
              <w:rPr>
                <w:rFonts w:cs="Times New Roman"/>
              </w:rPr>
              <w:t xml:space="preserve"> Professional University in </w:t>
            </w:r>
            <w:proofErr w:type="spellStart"/>
            <w:r>
              <w:rPr>
                <w:rFonts w:cs="Times New Roman"/>
              </w:rPr>
              <w:t>Dronten</w:t>
            </w:r>
            <w:proofErr w:type="spellEnd"/>
            <w:r>
              <w:rPr>
                <w:rFonts w:cs="Times New Roman"/>
              </w:rPr>
              <w:t xml:space="preserve"> (Program LLP Erasmus)</w:t>
            </w:r>
          </w:p>
        </w:tc>
      </w:tr>
      <w:tr w:rsidR="00DD61EB" w:rsidRPr="00D221A9" w14:paraId="0E5418F4" w14:textId="77777777" w:rsidTr="00DD61EB">
        <w:tc>
          <w:tcPr>
            <w:tcW w:w="2063" w:type="dxa"/>
          </w:tcPr>
          <w:p w14:paraId="32743C01" w14:textId="65828BB8" w:rsidR="00B95E13" w:rsidRPr="00527E45" w:rsidRDefault="00DD61EB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2006 - 2011</w:t>
            </w:r>
          </w:p>
        </w:tc>
        <w:tc>
          <w:tcPr>
            <w:tcW w:w="6999" w:type="dxa"/>
          </w:tcPr>
          <w:p w14:paraId="302ECBFB" w14:textId="55E41B75" w:rsidR="00B95E13" w:rsidRPr="00527E45" w:rsidRDefault="00DD61EB" w:rsidP="002F0476">
            <w:pPr>
              <w:tabs>
                <w:tab w:val="left" w:pos="396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Institut vzdělávání a poradenství ČZU v Praze (souběžné pedagogické studium)</w:t>
            </w:r>
          </w:p>
        </w:tc>
      </w:tr>
      <w:tr w:rsidR="00DD61EB" w:rsidRPr="00D221A9" w14:paraId="69FC25B0" w14:textId="77777777" w:rsidTr="00191990">
        <w:tc>
          <w:tcPr>
            <w:tcW w:w="2063" w:type="dxa"/>
          </w:tcPr>
          <w:p w14:paraId="116DD076" w14:textId="2057C102" w:rsidR="00DD61EB" w:rsidRPr="00527E45" w:rsidRDefault="00DD61EB" w:rsidP="002F0476">
            <w:pPr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7E45">
              <w:rPr>
                <w:rFonts w:cs="Times New Roman"/>
              </w:rPr>
              <w:t>200</w:t>
            </w:r>
            <w:r>
              <w:rPr>
                <w:rFonts w:cs="Times New Roman"/>
              </w:rPr>
              <w:t>4</w:t>
            </w:r>
            <w:r w:rsidRPr="00527E45">
              <w:rPr>
                <w:rFonts w:cs="Times New Roman"/>
              </w:rPr>
              <w:t xml:space="preserve"> - 200</w:t>
            </w:r>
            <w:r>
              <w:rPr>
                <w:rFonts w:cs="Times New Roman"/>
              </w:rPr>
              <w:t>7</w:t>
            </w:r>
          </w:p>
        </w:tc>
        <w:tc>
          <w:tcPr>
            <w:tcW w:w="6999" w:type="dxa"/>
            <w:vAlign w:val="center"/>
          </w:tcPr>
          <w:p w14:paraId="3CE2F5CA" w14:textId="434EA1FD" w:rsidR="00DD61EB" w:rsidRPr="00527E45" w:rsidRDefault="00DD61EB" w:rsidP="002F0476">
            <w:pPr>
              <w:tabs>
                <w:tab w:val="left" w:pos="396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Česká zemědělská univerzita v Praze – bakalářské studium obor Chovatelství</w:t>
            </w:r>
          </w:p>
        </w:tc>
      </w:tr>
    </w:tbl>
    <w:p w14:paraId="6A90E247" w14:textId="77777777" w:rsidR="00966A5E" w:rsidRDefault="001D27AD" w:rsidP="00966A5E">
      <w:pPr>
        <w:spacing w:before="120"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Odborná způsobilost</w:t>
      </w:r>
    </w:p>
    <w:p w14:paraId="23105F15" w14:textId="6656EF86" w:rsidR="005A2507" w:rsidRPr="00966A5E" w:rsidRDefault="00816358" w:rsidP="00966A5E">
      <w:pPr>
        <w:spacing w:after="120" w:line="360" w:lineRule="auto"/>
        <w:jc w:val="both"/>
        <w:rPr>
          <w:rFonts w:cs="Times New Roman"/>
          <w:b/>
        </w:rPr>
      </w:pPr>
      <w:r>
        <w:rPr>
          <w:rFonts w:cs="Times New Roman"/>
        </w:rPr>
        <w:t>G</w:t>
      </w:r>
      <w:r w:rsidR="00077F1A">
        <w:rPr>
          <w:rFonts w:cs="Times New Roman"/>
        </w:rPr>
        <w:t xml:space="preserve">enetická daktyloskopie, genetické </w:t>
      </w:r>
      <w:proofErr w:type="spellStart"/>
      <w:r w:rsidR="00077F1A">
        <w:rPr>
          <w:rFonts w:cs="Times New Roman"/>
        </w:rPr>
        <w:t>markery</w:t>
      </w:r>
      <w:proofErr w:type="spellEnd"/>
      <w:r>
        <w:rPr>
          <w:rFonts w:cs="Times New Roman"/>
        </w:rPr>
        <w:t>, expresní analýzy</w:t>
      </w:r>
    </w:p>
    <w:p w14:paraId="1771F642" w14:textId="77777777" w:rsidR="008329A0" w:rsidRPr="00D221A9" w:rsidRDefault="00B82E30" w:rsidP="00B82E30">
      <w:pPr>
        <w:tabs>
          <w:tab w:val="left" w:pos="2835"/>
        </w:tabs>
        <w:spacing w:before="100" w:beforeAutospacing="1" w:after="120" w:line="36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PŘEHLED SOUČASNÉ VĚDECKÉ PRAXE</w:t>
      </w:r>
    </w:p>
    <w:p w14:paraId="4D8AE801" w14:textId="461C798D" w:rsidR="00816358" w:rsidRPr="005A2507" w:rsidRDefault="005A2507" w:rsidP="005A2507">
      <w:pPr>
        <w:tabs>
          <w:tab w:val="left" w:pos="2835"/>
        </w:tabs>
        <w:spacing w:after="120"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Výzkumná činnost od roku </w:t>
      </w:r>
      <w:r w:rsidR="0023687D">
        <w:rPr>
          <w:rFonts w:cs="Times New Roman"/>
          <w:color w:val="000000" w:themeColor="text1"/>
        </w:rPr>
        <w:t>201</w:t>
      </w:r>
      <w:r w:rsidR="002D4EB3">
        <w:rPr>
          <w:rFonts w:cs="Times New Roman"/>
          <w:color w:val="000000" w:themeColor="text1"/>
        </w:rPr>
        <w:t>5</w:t>
      </w:r>
      <w:r w:rsidR="0023687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na Oddělení genetiky a šlechtění v oblasti </w:t>
      </w:r>
      <w:proofErr w:type="spellStart"/>
      <w:r w:rsidR="00973AC6">
        <w:rPr>
          <w:rFonts w:cs="Times New Roman"/>
          <w:color w:val="000000" w:themeColor="text1"/>
        </w:rPr>
        <w:t>nalýza</w:t>
      </w:r>
      <w:proofErr w:type="spellEnd"/>
      <w:r w:rsidR="002D4EB3">
        <w:rPr>
          <w:rFonts w:cs="Times New Roman"/>
          <w:color w:val="000000" w:themeColor="text1"/>
        </w:rPr>
        <w:t xml:space="preserve"> genotypu třešní </w:t>
      </w:r>
      <w:proofErr w:type="spellStart"/>
      <w:r w:rsidR="002D4EB3">
        <w:rPr>
          <w:rFonts w:cs="Times New Roman"/>
          <w:color w:val="000000" w:themeColor="text1"/>
        </w:rPr>
        <w:t>sekvenováním</w:t>
      </w:r>
      <w:proofErr w:type="spellEnd"/>
      <w:r w:rsidR="002D4EB3">
        <w:rPr>
          <w:rFonts w:cs="Times New Roman"/>
          <w:color w:val="000000" w:themeColor="text1"/>
        </w:rPr>
        <w:t xml:space="preserve"> a </w:t>
      </w:r>
      <w:bookmarkStart w:id="0" w:name="_GoBack"/>
      <w:bookmarkEnd w:id="0"/>
      <w:proofErr w:type="spellStart"/>
      <w:r w:rsidR="00973AC6">
        <w:rPr>
          <w:rFonts w:cs="Times New Roman"/>
          <w:color w:val="000000" w:themeColor="text1"/>
        </w:rPr>
        <w:t>genotypování</w:t>
      </w:r>
      <w:proofErr w:type="spellEnd"/>
      <w:r w:rsidR="00973AC6">
        <w:rPr>
          <w:rFonts w:cs="Times New Roman"/>
          <w:color w:val="000000" w:themeColor="text1"/>
        </w:rPr>
        <w:t xml:space="preserve"> </w:t>
      </w:r>
      <w:r w:rsidR="002D4EB3">
        <w:rPr>
          <w:rFonts w:cs="Times New Roman"/>
          <w:color w:val="000000" w:themeColor="text1"/>
        </w:rPr>
        <w:t xml:space="preserve">stanovením S-alel a SSR </w:t>
      </w:r>
      <w:proofErr w:type="spellStart"/>
      <w:r w:rsidR="002D4EB3">
        <w:rPr>
          <w:rFonts w:cs="Times New Roman"/>
          <w:color w:val="000000" w:themeColor="text1"/>
        </w:rPr>
        <w:t>markerů</w:t>
      </w:r>
      <w:proofErr w:type="spellEnd"/>
      <w:r w:rsidR="002D4EB3">
        <w:rPr>
          <w:rFonts w:cs="Times New Roman"/>
          <w:color w:val="000000" w:themeColor="text1"/>
        </w:rPr>
        <w:t xml:space="preserve"> pomocí fragmentační analýzy,</w:t>
      </w:r>
      <w:r>
        <w:rPr>
          <w:rFonts w:cs="Times New Roman"/>
          <w:color w:val="000000" w:themeColor="text1"/>
        </w:rPr>
        <w:t xml:space="preserve"> dále</w:t>
      </w:r>
      <w:r w:rsidR="002D4EB3">
        <w:rPr>
          <w:rFonts w:cs="Times New Roman"/>
          <w:color w:val="000000" w:themeColor="text1"/>
        </w:rPr>
        <w:t xml:space="preserve"> expresní analýzy</w:t>
      </w:r>
      <w:r>
        <w:rPr>
          <w:rFonts w:cs="Times New Roman"/>
          <w:color w:val="000000" w:themeColor="text1"/>
        </w:rPr>
        <w:t xml:space="preserve"> plodů jabloní</w:t>
      </w:r>
      <w:r w:rsidR="002D4EB3">
        <w:rPr>
          <w:rFonts w:cs="Times New Roman"/>
          <w:color w:val="000000" w:themeColor="text1"/>
        </w:rPr>
        <w:t xml:space="preserve"> metodou </w:t>
      </w:r>
      <w:proofErr w:type="spellStart"/>
      <w:r w:rsidR="002D4EB3">
        <w:rPr>
          <w:rFonts w:cs="Times New Roman"/>
          <w:color w:val="000000" w:themeColor="text1"/>
        </w:rPr>
        <w:t>qPCR</w:t>
      </w:r>
      <w:proofErr w:type="spellEnd"/>
      <w:r>
        <w:rPr>
          <w:rFonts w:cs="Times New Roman"/>
          <w:color w:val="000000" w:themeColor="text1"/>
        </w:rPr>
        <w:t xml:space="preserve">. Spoluautor několika certifikovaných metodik, publikací v tuzemských periodikách a účast na mezinárodní konferenci. </w:t>
      </w:r>
    </w:p>
    <w:p w14:paraId="612B9C71" w14:textId="77777777" w:rsidR="00D221A9" w:rsidRPr="00D221A9" w:rsidRDefault="00D221A9" w:rsidP="001D27AD">
      <w:pPr>
        <w:tabs>
          <w:tab w:val="left" w:pos="2835"/>
        </w:tabs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Citovanost podle SC</w:t>
      </w:r>
      <w:r w:rsidR="001D27AD">
        <w:rPr>
          <w:rFonts w:cs="Times New Roman"/>
          <w:b/>
        </w:rPr>
        <w:t>I, celkově dosažený IF, h-index</w:t>
      </w:r>
    </w:p>
    <w:p w14:paraId="25D33A97" w14:textId="2E6BB0BC" w:rsidR="008C7BEE" w:rsidRDefault="008C7BEE" w:rsidP="00D221A9">
      <w:pPr>
        <w:tabs>
          <w:tab w:val="left" w:pos="2835"/>
        </w:tabs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Počet citací (bez </w:t>
      </w:r>
      <w:proofErr w:type="spellStart"/>
      <w:r>
        <w:rPr>
          <w:rFonts w:cs="Times New Roman"/>
        </w:rPr>
        <w:t>autocitací</w:t>
      </w:r>
      <w:proofErr w:type="spellEnd"/>
      <w:r>
        <w:rPr>
          <w:rFonts w:cs="Times New Roman"/>
        </w:rPr>
        <w:t xml:space="preserve">) </w:t>
      </w:r>
      <w:r w:rsidR="00FF3E79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1E65C8">
        <w:rPr>
          <w:rFonts w:cs="Times New Roman"/>
        </w:rPr>
        <w:t>40</w:t>
      </w:r>
      <w:r w:rsidR="00FF3E79">
        <w:rPr>
          <w:rFonts w:cs="Times New Roman"/>
        </w:rPr>
        <w:t xml:space="preserve">, IF – </w:t>
      </w:r>
      <w:r w:rsidR="000F6194">
        <w:rPr>
          <w:rFonts w:cs="Times New Roman"/>
        </w:rPr>
        <w:t xml:space="preserve">4,648 </w:t>
      </w:r>
      <w:r w:rsidR="00FF3E79">
        <w:rPr>
          <w:rFonts w:cs="Times New Roman"/>
        </w:rPr>
        <w:t xml:space="preserve">(celkem 3 publikací s IF), h- index = 3 (dle databází </w:t>
      </w:r>
      <w:proofErr w:type="spellStart"/>
      <w:r w:rsidR="00FF3E79">
        <w:rPr>
          <w:rFonts w:cs="Times New Roman"/>
        </w:rPr>
        <w:t>WoS</w:t>
      </w:r>
      <w:proofErr w:type="spellEnd"/>
      <w:r w:rsidR="00FF3E79">
        <w:rPr>
          <w:rFonts w:cs="Times New Roman"/>
        </w:rPr>
        <w:t>)</w:t>
      </w:r>
    </w:p>
    <w:p w14:paraId="26A09878" w14:textId="4D6FF6A8" w:rsidR="00DF6381" w:rsidRPr="005A2507" w:rsidRDefault="00014849" w:rsidP="005A2507">
      <w:pPr>
        <w:tabs>
          <w:tab w:val="left" w:pos="2835"/>
        </w:tabs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Počet citací (bez </w:t>
      </w:r>
      <w:proofErr w:type="spellStart"/>
      <w:r>
        <w:rPr>
          <w:rFonts w:cs="Times New Roman"/>
        </w:rPr>
        <w:t>autocitací</w:t>
      </w:r>
      <w:proofErr w:type="spellEnd"/>
      <w:r>
        <w:rPr>
          <w:rFonts w:cs="Times New Roman"/>
        </w:rPr>
        <w:t xml:space="preserve">) – 48, </w:t>
      </w:r>
      <w:r w:rsidR="006834A4">
        <w:rPr>
          <w:rFonts w:cs="Times New Roman"/>
        </w:rPr>
        <w:t>h- index = 4</w:t>
      </w:r>
      <w:r>
        <w:rPr>
          <w:rFonts w:cs="Times New Roman"/>
        </w:rPr>
        <w:t xml:space="preserve"> (dle databází </w:t>
      </w:r>
      <w:proofErr w:type="spellStart"/>
      <w:r w:rsidR="006834A4">
        <w:rPr>
          <w:rFonts w:cs="Times New Roman"/>
        </w:rPr>
        <w:t>Scopus</w:t>
      </w:r>
      <w:proofErr w:type="spellEnd"/>
      <w:r w:rsidR="006834A4">
        <w:rPr>
          <w:rFonts w:cs="Times New Roman"/>
        </w:rPr>
        <w:t xml:space="preserve">, </w:t>
      </w:r>
      <w:proofErr w:type="spellStart"/>
      <w:r w:rsidR="006834A4">
        <w:rPr>
          <w:rFonts w:cs="Times New Roman"/>
        </w:rPr>
        <w:t>Author</w:t>
      </w:r>
      <w:proofErr w:type="spellEnd"/>
      <w:r w:rsidR="006834A4">
        <w:rPr>
          <w:rFonts w:cs="Times New Roman"/>
        </w:rPr>
        <w:t xml:space="preserve"> ID: 55829938000</w:t>
      </w:r>
      <w:r>
        <w:rPr>
          <w:rFonts w:cs="Times New Roman"/>
        </w:rPr>
        <w:t>)</w:t>
      </w:r>
    </w:p>
    <w:p w14:paraId="6F4CBBA1" w14:textId="77777777" w:rsidR="00D221A9" w:rsidRDefault="00D221A9" w:rsidP="001D27AD">
      <w:pPr>
        <w:tabs>
          <w:tab w:val="left" w:pos="2835"/>
        </w:tabs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Nejvýznamněj</w:t>
      </w:r>
      <w:r w:rsidR="001D27AD">
        <w:rPr>
          <w:rFonts w:cs="Times New Roman"/>
          <w:b/>
        </w:rPr>
        <w:t>ší / nejcitovanějších publikace</w:t>
      </w:r>
    </w:p>
    <w:p w14:paraId="10A2BC37" w14:textId="2D819859" w:rsidR="00397072" w:rsidRPr="002071FC" w:rsidRDefault="00973AC6" w:rsidP="002071FC">
      <w:r w:rsidRPr="002071FC">
        <w:t xml:space="preserve">GOUTAM, S., V. KADLECOVA, H. HORNSHOJ, B. NIELSEN and </w:t>
      </w:r>
      <w:proofErr w:type="gramStart"/>
      <w:r w:rsidRPr="002071FC">
        <w:t>O.F.</w:t>
      </w:r>
      <w:proofErr w:type="gramEnd"/>
      <w:r w:rsidR="002071FC">
        <w:t xml:space="preserve"> </w:t>
      </w:r>
      <w:r w:rsidRPr="002071FC">
        <w:t>CHRISTENSEN. A genome-</w:t>
      </w:r>
      <w:proofErr w:type="spellStart"/>
      <w:r w:rsidRPr="002071FC">
        <w:t>wide</w:t>
      </w:r>
      <w:proofErr w:type="spellEnd"/>
      <w:r w:rsidRPr="002071FC">
        <w:t xml:space="preserve"> </w:t>
      </w:r>
      <w:proofErr w:type="spellStart"/>
      <w:r w:rsidRPr="002071FC">
        <w:t>association</w:t>
      </w:r>
      <w:proofErr w:type="spellEnd"/>
      <w:r w:rsidRPr="002071FC">
        <w:t xml:space="preserve"> </w:t>
      </w:r>
      <w:proofErr w:type="spellStart"/>
      <w:r w:rsidRPr="002071FC">
        <w:t>scan</w:t>
      </w:r>
      <w:proofErr w:type="spellEnd"/>
      <w:r w:rsidRPr="002071FC">
        <w:t xml:space="preserve"> in </w:t>
      </w:r>
      <w:proofErr w:type="spellStart"/>
      <w:r w:rsidRPr="002071FC">
        <w:t>pig</w:t>
      </w:r>
      <w:proofErr w:type="spellEnd"/>
      <w:r w:rsidRPr="002071FC">
        <w:t xml:space="preserve"> </w:t>
      </w:r>
      <w:proofErr w:type="spellStart"/>
      <w:r w:rsidRPr="002071FC">
        <w:t>identifies</w:t>
      </w:r>
      <w:proofErr w:type="spellEnd"/>
      <w:r w:rsidRPr="002071FC">
        <w:t xml:space="preserve"> novel</w:t>
      </w:r>
      <w:r w:rsidR="002071FC">
        <w:t xml:space="preserve"> </w:t>
      </w:r>
      <w:proofErr w:type="spellStart"/>
      <w:r w:rsidRPr="002071FC">
        <w:t>regions</w:t>
      </w:r>
      <w:proofErr w:type="spellEnd"/>
      <w:r w:rsidRPr="002071FC">
        <w:t xml:space="preserve"> </w:t>
      </w:r>
      <w:proofErr w:type="spellStart"/>
      <w:r w:rsidRPr="002071FC">
        <w:t>associated</w:t>
      </w:r>
      <w:proofErr w:type="spellEnd"/>
      <w:r w:rsidRPr="002071FC">
        <w:t xml:space="preserve"> </w:t>
      </w:r>
      <w:proofErr w:type="spellStart"/>
      <w:r w:rsidRPr="002071FC">
        <w:t>with</w:t>
      </w:r>
      <w:proofErr w:type="spellEnd"/>
      <w:r w:rsidRPr="002071FC">
        <w:t xml:space="preserve"> </w:t>
      </w:r>
      <w:proofErr w:type="spellStart"/>
      <w:r w:rsidRPr="002071FC">
        <w:t>feed</w:t>
      </w:r>
      <w:proofErr w:type="spellEnd"/>
      <w:r w:rsidRPr="002071FC">
        <w:t xml:space="preserve"> </w:t>
      </w:r>
      <w:proofErr w:type="spellStart"/>
      <w:r w:rsidRPr="002071FC">
        <w:t>efficiency</w:t>
      </w:r>
      <w:proofErr w:type="spellEnd"/>
      <w:r w:rsidRPr="002071FC">
        <w:t xml:space="preserve"> </w:t>
      </w:r>
      <w:proofErr w:type="spellStart"/>
      <w:r w:rsidRPr="002071FC">
        <w:t>trait</w:t>
      </w:r>
      <w:proofErr w:type="spellEnd"/>
      <w:r w:rsidRPr="002071FC">
        <w:t xml:space="preserve">. </w:t>
      </w:r>
      <w:proofErr w:type="spellStart"/>
      <w:r w:rsidRPr="002071FC">
        <w:t>Journal</w:t>
      </w:r>
      <w:proofErr w:type="spellEnd"/>
      <w:r w:rsidRPr="002071FC">
        <w:t xml:space="preserve"> </w:t>
      </w:r>
      <w:proofErr w:type="spellStart"/>
      <w:r w:rsidRPr="002071FC">
        <w:t>of</w:t>
      </w:r>
      <w:proofErr w:type="spellEnd"/>
      <w:r w:rsidRPr="002071FC">
        <w:t xml:space="preserve"> Animal Science.</w:t>
      </w:r>
      <w:r w:rsidR="002071FC">
        <w:t xml:space="preserve"> </w:t>
      </w:r>
      <w:r w:rsidRPr="002071FC">
        <w:t xml:space="preserve">2013, vol. 91, </w:t>
      </w:r>
      <w:proofErr w:type="spellStart"/>
      <w:r w:rsidRPr="002071FC">
        <w:t>is</w:t>
      </w:r>
      <w:proofErr w:type="spellEnd"/>
      <w:r w:rsidRPr="002071FC">
        <w:t>. 3, 1041-1050.</w:t>
      </w:r>
    </w:p>
    <w:p w14:paraId="05EE9693" w14:textId="13CC7B3D" w:rsidR="00973AC6" w:rsidRDefault="00973AC6" w:rsidP="002071FC">
      <w:r w:rsidRPr="002071FC">
        <w:t>KADLECOV</w:t>
      </w:r>
      <w:r w:rsidR="00DF6381">
        <w:t>Á, V., D. NĚMEČ</w:t>
      </w:r>
      <w:r w:rsidRPr="002071FC">
        <w:t>KOV</w:t>
      </w:r>
      <w:r w:rsidR="00DF6381">
        <w:t>Á</w:t>
      </w:r>
      <w:r w:rsidRPr="002071FC">
        <w:t>, K. JE</w:t>
      </w:r>
      <w:r w:rsidR="00DF6381">
        <w:t>ČMÍNKOVÁ</w:t>
      </w:r>
      <w:r w:rsidRPr="002071FC">
        <w:t xml:space="preserve"> and L. ST</w:t>
      </w:r>
      <w:r w:rsidR="00DF6381">
        <w:t>ÁDNÍ</w:t>
      </w:r>
      <w:r w:rsidRPr="002071FC">
        <w:t>K.</w:t>
      </w:r>
      <w:r w:rsidR="002071FC">
        <w:t xml:space="preserve"> </w:t>
      </w:r>
      <w:proofErr w:type="spellStart"/>
      <w:r w:rsidRPr="002071FC">
        <w:t>Association</w:t>
      </w:r>
      <w:proofErr w:type="spellEnd"/>
      <w:r w:rsidRPr="002071FC">
        <w:t xml:space="preserve"> </w:t>
      </w:r>
      <w:proofErr w:type="spellStart"/>
      <w:r w:rsidRPr="002071FC">
        <w:t>of</w:t>
      </w:r>
      <w:proofErr w:type="spellEnd"/>
      <w:r w:rsidRPr="002071FC">
        <w:t xml:space="preserve"> </w:t>
      </w:r>
      <w:proofErr w:type="spellStart"/>
      <w:r w:rsidRPr="002071FC">
        <w:t>bovine</w:t>
      </w:r>
      <w:proofErr w:type="spellEnd"/>
      <w:r w:rsidRPr="002071FC">
        <w:t xml:space="preserve"> DGAT1 and </w:t>
      </w:r>
      <w:proofErr w:type="spellStart"/>
      <w:r w:rsidRPr="002071FC">
        <w:t>leptin</w:t>
      </w:r>
      <w:proofErr w:type="spellEnd"/>
      <w:r w:rsidRPr="002071FC">
        <w:t xml:space="preserve"> </w:t>
      </w:r>
      <w:proofErr w:type="spellStart"/>
      <w:r w:rsidRPr="002071FC">
        <w:t>genes</w:t>
      </w:r>
      <w:proofErr w:type="spellEnd"/>
      <w:r w:rsidRPr="002071FC">
        <w:t xml:space="preserve"> </w:t>
      </w:r>
      <w:proofErr w:type="spellStart"/>
      <w:r w:rsidRPr="002071FC">
        <w:t>polymorphism</w:t>
      </w:r>
      <w:proofErr w:type="spellEnd"/>
      <w:r w:rsidRPr="002071FC">
        <w:t xml:space="preserve"> </w:t>
      </w:r>
      <w:proofErr w:type="spellStart"/>
      <w:r w:rsidRPr="002071FC">
        <w:t>with</w:t>
      </w:r>
      <w:proofErr w:type="spellEnd"/>
      <w:r w:rsidRPr="002071FC">
        <w:t xml:space="preserve"> </w:t>
      </w:r>
      <w:proofErr w:type="spellStart"/>
      <w:r w:rsidRPr="002071FC">
        <w:t>milk</w:t>
      </w:r>
      <w:proofErr w:type="spellEnd"/>
      <w:r w:rsidR="002071FC">
        <w:t xml:space="preserve"> </w:t>
      </w:r>
      <w:proofErr w:type="spellStart"/>
      <w:r w:rsidRPr="002071FC">
        <w:t>production</w:t>
      </w:r>
      <w:proofErr w:type="spellEnd"/>
      <w:r w:rsidRPr="002071FC">
        <w:t xml:space="preserve"> </w:t>
      </w:r>
      <w:proofErr w:type="spellStart"/>
      <w:r w:rsidRPr="002071FC">
        <w:t>traits</w:t>
      </w:r>
      <w:proofErr w:type="spellEnd"/>
      <w:r w:rsidRPr="002071FC">
        <w:t xml:space="preserve"> and </w:t>
      </w:r>
      <w:proofErr w:type="spellStart"/>
      <w:r w:rsidRPr="002071FC">
        <w:t>energy</w:t>
      </w:r>
      <w:proofErr w:type="spellEnd"/>
      <w:r w:rsidRPr="002071FC">
        <w:t xml:space="preserve"> balance </w:t>
      </w:r>
      <w:proofErr w:type="spellStart"/>
      <w:r w:rsidRPr="002071FC">
        <w:t>indicators</w:t>
      </w:r>
      <w:proofErr w:type="spellEnd"/>
      <w:r w:rsidRPr="002071FC">
        <w:t xml:space="preserve"> in </w:t>
      </w:r>
      <w:proofErr w:type="spellStart"/>
      <w:r w:rsidRPr="002071FC">
        <w:t>primiparous</w:t>
      </w:r>
      <w:proofErr w:type="spellEnd"/>
      <w:r w:rsidRPr="002071FC">
        <w:t xml:space="preserve"> </w:t>
      </w:r>
      <w:proofErr w:type="spellStart"/>
      <w:r w:rsidRPr="002071FC">
        <w:t>Holstein</w:t>
      </w:r>
      <w:proofErr w:type="spellEnd"/>
      <w:r w:rsidR="002071FC">
        <w:t xml:space="preserve"> </w:t>
      </w:r>
      <w:proofErr w:type="spellStart"/>
      <w:r w:rsidRPr="002071FC">
        <w:t>cows</w:t>
      </w:r>
      <w:proofErr w:type="spellEnd"/>
      <w:r w:rsidRPr="002071FC">
        <w:t xml:space="preserve">. </w:t>
      </w:r>
      <w:proofErr w:type="spellStart"/>
      <w:r w:rsidRPr="002071FC">
        <w:t>Mljekarstvo</w:t>
      </w:r>
      <w:proofErr w:type="spellEnd"/>
      <w:r w:rsidRPr="002071FC">
        <w:t xml:space="preserve">. 2014, vol. 64, </w:t>
      </w:r>
      <w:proofErr w:type="spellStart"/>
      <w:r w:rsidRPr="002071FC">
        <w:t>is</w:t>
      </w:r>
      <w:proofErr w:type="spellEnd"/>
      <w:r w:rsidRPr="002071FC">
        <w:t>. 1, 19-26.</w:t>
      </w:r>
    </w:p>
    <w:p w14:paraId="4FAD9D38" w14:textId="5486AD90" w:rsidR="002071FC" w:rsidRDefault="002071FC" w:rsidP="002071FC">
      <w:r>
        <w:t xml:space="preserve">VÁVRA, R., I. ŽĎÁRSKÁ, V. KADLECOVÁ, J. BLAŽEK, P. VEJL, P. SEDLÁK, M. MELOUNOVÁ. Selekce jabloní v rané vývojové fázi s využitím molekulárních </w:t>
      </w:r>
      <w:proofErr w:type="spellStart"/>
      <w:r>
        <w:t>markerů</w:t>
      </w:r>
      <w:proofErr w:type="spellEnd"/>
      <w:r>
        <w:t>. 2015. ISBN 978-80-87030-41-1.</w:t>
      </w:r>
    </w:p>
    <w:p w14:paraId="03D66FAB" w14:textId="6BE33101" w:rsidR="002071FC" w:rsidRDefault="002071FC" w:rsidP="002071FC">
      <w:pPr>
        <w:rPr>
          <w:rFonts w:ascii="Calibri" w:hAnsi="Calibri" w:cs="Calibri"/>
        </w:rPr>
      </w:pPr>
      <w:r w:rsidRPr="002071FC">
        <w:lastRenderedPageBreak/>
        <w:t xml:space="preserve">VÁVRA, R., JONÁŠ, M. a V. KADLECOVÁ. Redukce růstu a kvalita plodů slivoní na podnožích </w:t>
      </w:r>
      <w:r w:rsidRPr="002071FC">
        <w:rPr>
          <w:rFonts w:ascii="Calibri" w:hAnsi="Calibri" w:cs="Calibri"/>
        </w:rPr>
        <w:t>Krymsk®1</w:t>
      </w:r>
      <w:r w:rsidRPr="00D80506">
        <w:rPr>
          <w:rFonts w:ascii="Calibri" w:hAnsi="Calibri" w:cs="Calibri"/>
        </w:rPr>
        <w:t xml:space="preserve"> a Krymsk®2. Zahradnictví, speciální příloha Ovocnářství. 2017, 16(1): 54-58. ISSN 1213-7596.</w:t>
      </w:r>
    </w:p>
    <w:p w14:paraId="1FD2CED7" w14:textId="6710085F" w:rsidR="006834A4" w:rsidRPr="002071FC" w:rsidRDefault="00DF6381" w:rsidP="002071FC">
      <w:r>
        <w:rPr>
          <w:rFonts w:ascii="Calibri" w:hAnsi="Calibri" w:cs="Calibri"/>
        </w:rPr>
        <w:t>MÉSZÁROS, M. VÁVRA, R., SURAN, P., ŽĎÁRSKÁ, I., JONÁŠ, M., SKŘIVANOVÁ, A., BÍLKOVÁ, A., KADLECOVÁ, V. Pěstování třešní a višní v ekologické produkci. Certifikovaná metodika. VŠÚO Holovousy. 2017, 51 s., ISBN 978-80-87030-55-4.</w:t>
      </w:r>
    </w:p>
    <w:p w14:paraId="1BAA1975" w14:textId="77777777" w:rsidR="008329A0" w:rsidRPr="00D221A9" w:rsidRDefault="008329A0" w:rsidP="001D27AD">
      <w:pPr>
        <w:tabs>
          <w:tab w:val="left" w:pos="2835"/>
        </w:tabs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Výzkumné projekt</w:t>
      </w:r>
      <w:r w:rsidR="001D27AD">
        <w:rPr>
          <w:rFonts w:cs="Times New Roman"/>
          <w:b/>
        </w:rPr>
        <w:t>y a záměry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3"/>
        <w:gridCol w:w="6999"/>
      </w:tblGrid>
      <w:tr w:rsidR="00A51A08" w:rsidRPr="00D221A9" w14:paraId="38F4651F" w14:textId="77777777" w:rsidTr="00B31DAD">
        <w:tc>
          <w:tcPr>
            <w:tcW w:w="2063" w:type="dxa"/>
          </w:tcPr>
          <w:p w14:paraId="67934C1A" w14:textId="43FA0013" w:rsidR="00A51A08" w:rsidRPr="00D221A9" w:rsidRDefault="00202FAE" w:rsidP="00B82E30">
            <w:pPr>
              <w:tabs>
                <w:tab w:val="left" w:pos="2835"/>
              </w:tabs>
              <w:spacing w:after="1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2017 - 2020</w:t>
            </w:r>
          </w:p>
        </w:tc>
        <w:tc>
          <w:tcPr>
            <w:tcW w:w="6999" w:type="dxa"/>
          </w:tcPr>
          <w:p w14:paraId="7EA00B5D" w14:textId="7DB9B72A" w:rsidR="002413B3" w:rsidRDefault="00202FAE" w:rsidP="001D27AD">
            <w:pPr>
              <w:spacing w:after="120"/>
              <w:contextualSpacing/>
              <w:jc w:val="both"/>
            </w:pPr>
            <w:r>
              <w:t>TAČR TH 02030223</w:t>
            </w:r>
            <w:r w:rsidR="001F3CF3">
              <w:t xml:space="preserve"> – 10 200 tis. Kč</w:t>
            </w:r>
          </w:p>
          <w:p w14:paraId="34A855E8" w14:textId="75EEF4F8" w:rsidR="00A51A08" w:rsidRPr="00D221A9" w:rsidRDefault="002413B3" w:rsidP="002413B3">
            <w:pPr>
              <w:spacing w:after="120"/>
              <w:contextualSpacing/>
              <w:jc w:val="both"/>
              <w:rPr>
                <w:rFonts w:eastAsia="Arial Unicode MS" w:cs="Times New Roman"/>
                <w:bCs/>
              </w:rPr>
            </w:pPr>
            <w:r>
              <w:t>Člen řešitelského týmu</w:t>
            </w:r>
          </w:p>
        </w:tc>
      </w:tr>
      <w:tr w:rsidR="00C04124" w:rsidRPr="00D221A9" w14:paraId="386038D9" w14:textId="77777777" w:rsidTr="00B31DAD">
        <w:tc>
          <w:tcPr>
            <w:tcW w:w="2063" w:type="dxa"/>
          </w:tcPr>
          <w:p w14:paraId="12D826D0" w14:textId="0FC95726" w:rsidR="00C04124" w:rsidRPr="00D221A9" w:rsidRDefault="00683FE9" w:rsidP="00B82E30">
            <w:pPr>
              <w:tabs>
                <w:tab w:val="left" w:pos="2835"/>
              </w:tabs>
              <w:spacing w:after="1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2017 - 2019</w:t>
            </w:r>
          </w:p>
        </w:tc>
        <w:tc>
          <w:tcPr>
            <w:tcW w:w="6999" w:type="dxa"/>
          </w:tcPr>
          <w:p w14:paraId="3B63AEC4" w14:textId="4FE55DCC" w:rsidR="002413B3" w:rsidRDefault="00683FE9" w:rsidP="00B82E30">
            <w:pPr>
              <w:spacing w:after="120"/>
              <w:contextualSpacing/>
              <w:jc w:val="both"/>
              <w:rPr>
                <w:rFonts w:eastAsiaTheme="minorHAnsi" w:cs="Cambria-Bold"/>
                <w:bCs/>
                <w:szCs w:val="23"/>
                <w:lang w:eastAsia="en-US"/>
              </w:rPr>
            </w:pPr>
            <w:r>
              <w:rPr>
                <w:rFonts w:eastAsia="Arial Unicode MS" w:cs="Times New Roman"/>
                <w:bCs/>
              </w:rPr>
              <w:t xml:space="preserve">TAČR </w:t>
            </w:r>
            <w:r w:rsidRPr="00683FE9">
              <w:rPr>
                <w:rFonts w:eastAsiaTheme="minorHAnsi" w:cs="Cambria-Bold"/>
                <w:bCs/>
                <w:szCs w:val="23"/>
                <w:lang w:eastAsia="en-US"/>
              </w:rPr>
              <w:t>TJ01000151</w:t>
            </w:r>
            <w:r w:rsidR="002F0476">
              <w:rPr>
                <w:rFonts w:eastAsiaTheme="minorHAnsi" w:cs="Cambria-Bold"/>
                <w:bCs/>
                <w:szCs w:val="23"/>
                <w:lang w:eastAsia="en-US"/>
              </w:rPr>
              <w:t xml:space="preserve"> – 2 800 tis. Kč</w:t>
            </w:r>
          </w:p>
          <w:p w14:paraId="0955B728" w14:textId="4ECB6873" w:rsidR="00C04124" w:rsidRPr="00D221A9" w:rsidRDefault="002413B3" w:rsidP="00B82E30">
            <w:pPr>
              <w:spacing w:after="120"/>
              <w:contextualSpacing/>
              <w:jc w:val="both"/>
              <w:rPr>
                <w:rFonts w:eastAsia="Arial Unicode MS" w:cs="Times New Roman"/>
                <w:bCs/>
              </w:rPr>
            </w:pPr>
            <w:r>
              <w:t>Člen řešitelského týmu</w:t>
            </w:r>
          </w:p>
        </w:tc>
      </w:tr>
      <w:tr w:rsidR="00C04124" w:rsidRPr="00D221A9" w14:paraId="4CF72CAD" w14:textId="77777777" w:rsidTr="00B31DAD">
        <w:tc>
          <w:tcPr>
            <w:tcW w:w="2063" w:type="dxa"/>
          </w:tcPr>
          <w:p w14:paraId="5E71A2F7" w14:textId="4209029D" w:rsidR="00C04124" w:rsidRPr="00D221A9" w:rsidRDefault="00DD324C" w:rsidP="00B82E30">
            <w:pPr>
              <w:tabs>
                <w:tab w:val="left" w:pos="2835"/>
              </w:tabs>
              <w:spacing w:after="1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2014 - 2018</w:t>
            </w:r>
          </w:p>
        </w:tc>
        <w:tc>
          <w:tcPr>
            <w:tcW w:w="6999" w:type="dxa"/>
          </w:tcPr>
          <w:p w14:paraId="1110E104" w14:textId="59687676" w:rsidR="002413B3" w:rsidRDefault="00DD324C" w:rsidP="00B82E30">
            <w:pPr>
              <w:spacing w:after="120"/>
              <w:contextualSpacing/>
              <w:jc w:val="both"/>
              <w:rPr>
                <w:rFonts w:cs="Times New Roman"/>
                <w:szCs w:val="32"/>
              </w:rPr>
            </w:pPr>
            <w:proofErr w:type="spellStart"/>
            <w:r>
              <w:rPr>
                <w:rFonts w:cs="Times New Roman"/>
              </w:rPr>
              <w:t>MZe</w:t>
            </w:r>
            <w:proofErr w:type="spellEnd"/>
            <w:r>
              <w:rPr>
                <w:rFonts w:cs="Times New Roman"/>
              </w:rPr>
              <w:t xml:space="preserve"> – NAZV</w:t>
            </w:r>
            <w:r w:rsidRPr="00DD324C">
              <w:rPr>
                <w:rFonts w:cs="Times New Roman"/>
                <w:sz w:val="16"/>
              </w:rPr>
              <w:t xml:space="preserve"> </w:t>
            </w:r>
            <w:r w:rsidRPr="00DD324C">
              <w:rPr>
                <w:rFonts w:cs="Times New Roman"/>
                <w:szCs w:val="32"/>
              </w:rPr>
              <w:t>QJ1510354</w:t>
            </w:r>
            <w:r w:rsidR="001F3CF3">
              <w:rPr>
                <w:rFonts w:cs="Times New Roman"/>
                <w:szCs w:val="32"/>
              </w:rPr>
              <w:t xml:space="preserve"> – 9 727 tis. Kč</w:t>
            </w:r>
          </w:p>
          <w:p w14:paraId="4885B82B" w14:textId="26802A7F" w:rsidR="00C04124" w:rsidRPr="00D221A9" w:rsidRDefault="002413B3" w:rsidP="00B82E30">
            <w:pPr>
              <w:spacing w:after="1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32"/>
              </w:rPr>
              <w:t>Č</w:t>
            </w:r>
            <w:r w:rsidR="00DD324C">
              <w:rPr>
                <w:rFonts w:cs="Times New Roman"/>
                <w:szCs w:val="32"/>
              </w:rPr>
              <w:t>len řešitelského týmu</w:t>
            </w:r>
          </w:p>
        </w:tc>
      </w:tr>
      <w:tr w:rsidR="00B31DAD" w:rsidRPr="00D221A9" w14:paraId="42A1A5D8" w14:textId="77777777" w:rsidTr="00B31DAD">
        <w:tc>
          <w:tcPr>
            <w:tcW w:w="2063" w:type="dxa"/>
          </w:tcPr>
          <w:p w14:paraId="4179C7A2" w14:textId="4D2CEAFF" w:rsidR="00B31DAD" w:rsidRPr="00D221A9" w:rsidRDefault="00B31DAD" w:rsidP="00B31DAD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2015 - 2018</w:t>
            </w:r>
          </w:p>
        </w:tc>
        <w:tc>
          <w:tcPr>
            <w:tcW w:w="6999" w:type="dxa"/>
          </w:tcPr>
          <w:p w14:paraId="72985F74" w14:textId="4FCA30F6" w:rsidR="00B31DAD" w:rsidRPr="00B31DAD" w:rsidRDefault="00B31DAD" w:rsidP="00B31DAD">
            <w:proofErr w:type="spellStart"/>
            <w:r w:rsidRPr="00B31DAD">
              <w:t>MZe</w:t>
            </w:r>
            <w:proofErr w:type="spellEnd"/>
            <w:r w:rsidRPr="00B31DAD">
              <w:t xml:space="preserve"> – NAZV QJ1510351</w:t>
            </w:r>
            <w:r w:rsidR="00816358">
              <w:t xml:space="preserve"> – 7 070 tis. Kč</w:t>
            </w:r>
          </w:p>
          <w:p w14:paraId="77EC6312" w14:textId="5A92E531" w:rsidR="00B31DAD" w:rsidRPr="00B31DAD" w:rsidRDefault="00B31DAD" w:rsidP="00B31DAD">
            <w:r w:rsidRPr="00B31DAD">
              <w:t>Člen řešitelského týmu</w:t>
            </w:r>
          </w:p>
        </w:tc>
      </w:tr>
      <w:tr w:rsidR="00B31DAD" w:rsidRPr="00D221A9" w14:paraId="0CD80B6D" w14:textId="77777777" w:rsidTr="00F9797F">
        <w:tc>
          <w:tcPr>
            <w:tcW w:w="2063" w:type="dxa"/>
          </w:tcPr>
          <w:p w14:paraId="0D34D14F" w14:textId="0D58B173" w:rsidR="00B31DAD" w:rsidRPr="00D221A9" w:rsidRDefault="00B31DAD" w:rsidP="00B31DAD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2012 - 2016</w:t>
            </w:r>
          </w:p>
        </w:tc>
        <w:tc>
          <w:tcPr>
            <w:tcW w:w="6999" w:type="dxa"/>
          </w:tcPr>
          <w:p w14:paraId="3E4E723B" w14:textId="3E935997" w:rsidR="00B31DAD" w:rsidRPr="00B31DAD" w:rsidRDefault="00B31DAD" w:rsidP="00F9797F">
            <w:proofErr w:type="spellStart"/>
            <w:r w:rsidRPr="00B31DAD">
              <w:t>MZe</w:t>
            </w:r>
            <w:proofErr w:type="spellEnd"/>
            <w:r w:rsidRPr="00B31DAD">
              <w:t xml:space="preserve"> – NAZV QJ1</w:t>
            </w:r>
            <w:r>
              <w:t>2</w:t>
            </w:r>
            <w:r w:rsidRPr="00B31DAD">
              <w:t>10</w:t>
            </w:r>
            <w:r>
              <w:t>275</w:t>
            </w:r>
            <w:r w:rsidR="001F3CF3">
              <w:t xml:space="preserve"> – 16 443 tis. Kč</w:t>
            </w:r>
          </w:p>
          <w:p w14:paraId="6281138E" w14:textId="77777777" w:rsidR="00B31DAD" w:rsidRPr="00B31DAD" w:rsidRDefault="00B31DAD" w:rsidP="00F9797F">
            <w:r w:rsidRPr="00B31DAD">
              <w:t>Člen řešitelského týmu</w:t>
            </w:r>
          </w:p>
        </w:tc>
      </w:tr>
    </w:tbl>
    <w:p w14:paraId="5B46025B" w14:textId="77777777" w:rsidR="00A14731" w:rsidRPr="00D221A9" w:rsidRDefault="00A14731" w:rsidP="00B82E30">
      <w:pPr>
        <w:autoSpaceDE w:val="0"/>
        <w:autoSpaceDN w:val="0"/>
        <w:adjustRightInd w:val="0"/>
        <w:spacing w:after="120"/>
        <w:rPr>
          <w:rFonts w:eastAsiaTheme="minorHAnsi" w:cs="Times New Roman"/>
          <w:lang w:eastAsia="en-US"/>
        </w:rPr>
      </w:pPr>
    </w:p>
    <w:sectPr w:rsidR="00A14731" w:rsidRPr="00D2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9DC"/>
    <w:multiLevelType w:val="hybridMultilevel"/>
    <w:tmpl w:val="AD7CF69C"/>
    <w:lvl w:ilvl="0" w:tplc="35F8E5D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0"/>
    <w:rsid w:val="00014849"/>
    <w:rsid w:val="00077F1A"/>
    <w:rsid w:val="000F6194"/>
    <w:rsid w:val="00152B24"/>
    <w:rsid w:val="001B62DE"/>
    <w:rsid w:val="001D27AD"/>
    <w:rsid w:val="001E65C8"/>
    <w:rsid w:val="001F3CF3"/>
    <w:rsid w:val="00202D06"/>
    <w:rsid w:val="00202FAE"/>
    <w:rsid w:val="002071FC"/>
    <w:rsid w:val="0023687D"/>
    <w:rsid w:val="002413B3"/>
    <w:rsid w:val="002758A0"/>
    <w:rsid w:val="002D4EB3"/>
    <w:rsid w:val="002F0476"/>
    <w:rsid w:val="00397072"/>
    <w:rsid w:val="003A605A"/>
    <w:rsid w:val="004B70BF"/>
    <w:rsid w:val="00527E45"/>
    <w:rsid w:val="00587789"/>
    <w:rsid w:val="005A2507"/>
    <w:rsid w:val="006834A4"/>
    <w:rsid w:val="00683FE9"/>
    <w:rsid w:val="00723C8C"/>
    <w:rsid w:val="00761AA9"/>
    <w:rsid w:val="00816358"/>
    <w:rsid w:val="008329A0"/>
    <w:rsid w:val="00887386"/>
    <w:rsid w:val="008C7BEE"/>
    <w:rsid w:val="00966A5E"/>
    <w:rsid w:val="00973AC6"/>
    <w:rsid w:val="009F4555"/>
    <w:rsid w:val="00A14731"/>
    <w:rsid w:val="00A43489"/>
    <w:rsid w:val="00A51A08"/>
    <w:rsid w:val="00B31DAD"/>
    <w:rsid w:val="00B421DA"/>
    <w:rsid w:val="00B53AD7"/>
    <w:rsid w:val="00B82E30"/>
    <w:rsid w:val="00B95E13"/>
    <w:rsid w:val="00BB6F19"/>
    <w:rsid w:val="00C04124"/>
    <w:rsid w:val="00C95FAD"/>
    <w:rsid w:val="00CA56F8"/>
    <w:rsid w:val="00CC23BE"/>
    <w:rsid w:val="00D221A9"/>
    <w:rsid w:val="00DD324C"/>
    <w:rsid w:val="00DD61EB"/>
    <w:rsid w:val="00DF6381"/>
    <w:rsid w:val="00F03F30"/>
    <w:rsid w:val="00F80456"/>
    <w:rsid w:val="00F90373"/>
    <w:rsid w:val="00FA044E"/>
    <w:rsid w:val="00FA4532"/>
    <w:rsid w:val="00FB19A6"/>
    <w:rsid w:val="00FB4B48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F5D3"/>
  <w15:docId w15:val="{BF472C60-753B-4C45-8C67-B6B0C6A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A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2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2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2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329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329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rsid w:val="0083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ine">
    <w:name w:val="Tab Line"/>
    <w:basedOn w:val="Normln"/>
    <w:rsid w:val="008329A0"/>
    <w:pPr>
      <w:keepLines/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VNormal">
    <w:name w:val="CV Normal"/>
    <w:basedOn w:val="Normln"/>
    <w:rsid w:val="008329A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832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29A0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329A0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329A0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329A0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32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32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1B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7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A777-E374-4309-8655-47256B87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Silbernaglová, Tereza</dc:creator>
  <cp:lastModifiedBy> </cp:lastModifiedBy>
  <cp:revision>11</cp:revision>
  <dcterms:created xsi:type="dcterms:W3CDTF">2017-09-25T10:13:00Z</dcterms:created>
  <dcterms:modified xsi:type="dcterms:W3CDTF">2017-10-13T17:51:00Z</dcterms:modified>
</cp:coreProperties>
</file>